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horzAnchor="margin" w:tblpXSpec="center" w:tblpY="-711"/>
        <w:tblW w:w="10153" w:type="dxa"/>
        <w:tblInd w:w="0" w:type="dxa"/>
        <w:tblLayout w:type="fixed"/>
        <w:tblCellMar>
          <w:top w:w="0" w:type="dxa"/>
          <w:left w:w="10" w:type="dxa"/>
          <w:bottom w:w="0" w:type="dxa"/>
          <w:right w:w="10" w:type="dxa"/>
        </w:tblCellMar>
      </w:tblPr>
      <w:tblGrid>
        <w:gridCol w:w="4109"/>
        <w:gridCol w:w="1701"/>
        <w:gridCol w:w="4343"/>
      </w:tblGrid>
      <w:tr w14:paraId="59D93F32">
        <w:tblPrEx>
          <w:tblCellMar>
            <w:top w:w="0" w:type="dxa"/>
            <w:left w:w="10" w:type="dxa"/>
            <w:bottom w:w="0" w:type="dxa"/>
            <w:right w:w="10" w:type="dxa"/>
          </w:tblCellMar>
        </w:tblPrEx>
        <w:trPr>
          <w:trHeight w:val="2168" w:hRule="atLeast"/>
        </w:trPr>
        <w:tc>
          <w:tcPr>
            <w:tcW w:w="4109" w:type="dxa"/>
            <w:tcBorders>
              <w:bottom w:val="single" w:color="000000" w:sz="2" w:space="0"/>
            </w:tcBorders>
            <w:noWrap/>
            <w:tcMar>
              <w:top w:w="70" w:type="dxa"/>
              <w:left w:w="70" w:type="dxa"/>
              <w:bottom w:w="70" w:type="dxa"/>
              <w:right w:w="70" w:type="dxa"/>
            </w:tcMar>
          </w:tcPr>
          <w:p w14:paraId="3C71EE6B">
            <w:pPr>
              <w:pStyle w:val="4"/>
              <w:rPr>
                <w:b/>
              </w:rPr>
            </w:pPr>
            <w:r>
              <w:rPr>
                <w:b/>
              </w:rPr>
              <w:t>ТЫВА РЕСПУБЛИКАНЫН</w:t>
            </w:r>
          </w:p>
          <w:p w14:paraId="1F34E131">
            <w:pPr>
              <w:pStyle w:val="4"/>
              <w:rPr>
                <w:b/>
              </w:rPr>
            </w:pPr>
            <w:r>
              <w:rPr>
                <w:b/>
              </w:rPr>
              <w:t>ТОЖУ КОЖУУННУН</w:t>
            </w:r>
          </w:p>
          <w:p w14:paraId="34F958D3">
            <w:pPr>
              <w:pStyle w:val="4"/>
              <w:rPr>
                <w:b/>
              </w:rPr>
            </w:pPr>
            <w:r>
              <w:rPr>
                <w:b/>
              </w:rPr>
              <w:t>ЧАЗЫЛАР  КОДЭЭ СУМУ</w:t>
            </w:r>
          </w:p>
          <w:p w14:paraId="105643B5">
            <w:pPr>
              <w:pStyle w:val="4"/>
              <w:rPr>
                <w:b/>
              </w:rPr>
            </w:pPr>
            <w:r>
              <w:rPr>
                <w:b/>
              </w:rPr>
              <w:t>ЧАГЫРГАЗЫ</w:t>
            </w:r>
          </w:p>
          <w:p w14:paraId="47230BF2">
            <w:pPr>
              <w:pStyle w:val="4"/>
              <w:rPr>
                <w:b/>
                <w:sz w:val="20"/>
                <w:szCs w:val="20"/>
              </w:rPr>
            </w:pPr>
          </w:p>
          <w:p w14:paraId="291944D7">
            <w:pPr>
              <w:pStyle w:val="4"/>
              <w:rPr>
                <w:b/>
                <w:sz w:val="20"/>
                <w:szCs w:val="20"/>
              </w:rPr>
            </w:pPr>
            <w:r>
              <w:rPr>
                <w:b/>
                <w:sz w:val="20"/>
                <w:szCs w:val="20"/>
              </w:rPr>
              <w:t>668550, Тожу кожуун, Чазылары суур,</w:t>
            </w:r>
          </w:p>
          <w:p w14:paraId="78AF3CC0">
            <w:pPr>
              <w:pStyle w:val="4"/>
              <w:rPr>
                <w:b/>
                <w:sz w:val="20"/>
                <w:szCs w:val="20"/>
              </w:rPr>
            </w:pPr>
            <w:r>
              <w:rPr>
                <w:b/>
                <w:sz w:val="20"/>
                <w:szCs w:val="20"/>
              </w:rPr>
              <w:t>Ленина кудумчузу,бажын 1</w:t>
            </w:r>
          </w:p>
          <w:p w14:paraId="523DC683">
            <w:pPr>
              <w:pStyle w:val="4"/>
              <w:rPr>
                <w:b/>
                <w:sz w:val="20"/>
                <w:szCs w:val="20"/>
              </w:rPr>
            </w:pPr>
            <w:r>
              <w:rPr>
                <w:b/>
                <w:sz w:val="20"/>
                <w:szCs w:val="20"/>
              </w:rPr>
              <w:t>тел. 8-394-50-2-11-72</w:t>
            </w:r>
          </w:p>
          <w:p w14:paraId="5E67F323">
            <w:pPr>
              <w:pStyle w:val="4"/>
            </w:pPr>
            <w:r>
              <w:fldChar w:fldCharType="begin"/>
            </w:r>
            <w:r>
              <w:instrText xml:space="preserve"> HYPERLINK "mailto:spshazylarskyay@maij.ru" </w:instrText>
            </w:r>
            <w:r>
              <w:fldChar w:fldCharType="separate"/>
            </w:r>
            <w:r>
              <w:rPr>
                <w:b/>
                <w:sz w:val="20"/>
                <w:szCs w:val="20"/>
                <w:lang w:val="en-US"/>
              </w:rPr>
              <w:t>spshazylarskyay</w:t>
            </w:r>
            <w:r>
              <w:rPr>
                <w:b/>
                <w:sz w:val="20"/>
                <w:szCs w:val="20"/>
                <w:lang w:val="en-US"/>
              </w:rPr>
              <w:fldChar w:fldCharType="end"/>
            </w:r>
            <w:r>
              <w:fldChar w:fldCharType="begin"/>
            </w:r>
            <w:r>
              <w:instrText xml:space="preserve"> HYPERLINK "mailto:spshazylarskyay@maij.ru" </w:instrText>
            </w:r>
            <w:r>
              <w:fldChar w:fldCharType="separate"/>
            </w:r>
            <w:r>
              <w:rPr>
                <w:b/>
                <w:sz w:val="20"/>
                <w:szCs w:val="20"/>
              </w:rPr>
              <w:t>@</w:t>
            </w:r>
            <w:r>
              <w:rPr>
                <w:b/>
                <w:sz w:val="20"/>
                <w:szCs w:val="20"/>
              </w:rPr>
              <w:fldChar w:fldCharType="end"/>
            </w:r>
            <w:r>
              <w:fldChar w:fldCharType="begin"/>
            </w:r>
            <w:r>
              <w:instrText xml:space="preserve"> HYPERLINK "mailto:spshazylarskyay@maij.ru" </w:instrText>
            </w:r>
            <w:r>
              <w:fldChar w:fldCharType="separate"/>
            </w:r>
            <w:r>
              <w:rPr>
                <w:b/>
                <w:sz w:val="20"/>
                <w:szCs w:val="20"/>
                <w:lang w:val="en-US"/>
              </w:rPr>
              <w:t>mai</w:t>
            </w:r>
            <w:r>
              <w:rPr>
                <w:b/>
                <w:sz w:val="20"/>
                <w:szCs w:val="20"/>
                <w:lang w:val="en-US"/>
              </w:rPr>
              <w:fldChar w:fldCharType="end"/>
            </w:r>
            <w:r>
              <w:rPr>
                <w:b/>
                <w:sz w:val="20"/>
                <w:szCs w:val="20"/>
                <w:lang w:val="en-US"/>
              </w:rPr>
              <w:t>l</w:t>
            </w:r>
            <w:r>
              <w:fldChar w:fldCharType="begin"/>
            </w:r>
            <w:r>
              <w:instrText xml:space="preserve"> HYPERLINK "mailto:spshazylarskyay@maij.ru" </w:instrText>
            </w:r>
            <w:r>
              <w:fldChar w:fldCharType="separate"/>
            </w:r>
            <w:r>
              <w:rPr>
                <w:b/>
                <w:sz w:val="20"/>
                <w:szCs w:val="20"/>
              </w:rPr>
              <w:t>.</w:t>
            </w:r>
            <w:r>
              <w:rPr>
                <w:b/>
                <w:sz w:val="20"/>
                <w:szCs w:val="20"/>
              </w:rPr>
              <w:fldChar w:fldCharType="end"/>
            </w:r>
            <w:r>
              <w:fldChar w:fldCharType="begin"/>
            </w:r>
            <w:r>
              <w:instrText xml:space="preserve"> HYPERLINK "mailto:spshazylarskyay@maij.ru" </w:instrText>
            </w:r>
            <w:r>
              <w:fldChar w:fldCharType="separate"/>
            </w:r>
            <w:r>
              <w:rPr>
                <w:b/>
                <w:sz w:val="20"/>
                <w:szCs w:val="20"/>
                <w:lang w:val="en-US"/>
              </w:rPr>
              <w:t>ru</w:t>
            </w:r>
            <w:r>
              <w:rPr>
                <w:b/>
                <w:sz w:val="20"/>
                <w:szCs w:val="20"/>
                <w:lang w:val="en-US"/>
              </w:rPr>
              <w:fldChar w:fldCharType="end"/>
            </w:r>
          </w:p>
          <w:p w14:paraId="54472D84">
            <w:pPr>
              <w:pStyle w:val="4"/>
            </w:pPr>
          </w:p>
        </w:tc>
        <w:tc>
          <w:tcPr>
            <w:tcW w:w="1701" w:type="dxa"/>
            <w:tcBorders>
              <w:bottom w:val="single" w:color="000000" w:sz="2" w:space="0"/>
            </w:tcBorders>
            <w:noWrap/>
            <w:tcMar>
              <w:top w:w="70" w:type="dxa"/>
              <w:left w:w="70" w:type="dxa"/>
              <w:bottom w:w="70" w:type="dxa"/>
              <w:right w:w="70" w:type="dxa"/>
            </w:tcMar>
          </w:tcPr>
          <w:p w14:paraId="3867F10D">
            <w:pPr>
              <w:pStyle w:val="4"/>
            </w:pPr>
            <w:r>
              <w:drawing>
                <wp:inline distT="0" distB="0" distL="114300" distR="114300">
                  <wp:extent cx="933450" cy="895350"/>
                  <wp:effectExtent l="0" t="0" r="0" b="0"/>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6"/>
                          <a:stretch>
                            <a:fillRect/>
                          </a:stretch>
                        </pic:blipFill>
                        <pic:spPr>
                          <a:xfrm>
                            <a:off x="0" y="0"/>
                            <a:ext cx="933450" cy="895350"/>
                          </a:xfrm>
                          <a:prstGeom prst="rect">
                            <a:avLst/>
                          </a:prstGeom>
                          <a:noFill/>
                          <a:ln>
                            <a:noFill/>
                          </a:ln>
                        </pic:spPr>
                      </pic:pic>
                    </a:graphicData>
                  </a:graphic>
                </wp:inline>
              </w:drawing>
            </w:r>
          </w:p>
        </w:tc>
        <w:tc>
          <w:tcPr>
            <w:tcW w:w="4343" w:type="dxa"/>
            <w:tcBorders>
              <w:bottom w:val="single" w:color="000000" w:sz="2" w:space="0"/>
            </w:tcBorders>
            <w:noWrap/>
            <w:tcMar>
              <w:top w:w="70" w:type="dxa"/>
              <w:left w:w="70" w:type="dxa"/>
              <w:bottom w:w="70" w:type="dxa"/>
              <w:right w:w="70" w:type="dxa"/>
            </w:tcMar>
          </w:tcPr>
          <w:p w14:paraId="523BD5A8">
            <w:pPr>
              <w:pStyle w:val="4"/>
              <w:jc w:val="right"/>
              <w:rPr>
                <w:b/>
              </w:rPr>
            </w:pPr>
            <w:r>
              <w:rPr>
                <w:b/>
              </w:rPr>
              <w:t>АДМИНИСТРАЦИЯ</w:t>
            </w:r>
          </w:p>
          <w:p w14:paraId="5F4F4EBB">
            <w:pPr>
              <w:pStyle w:val="4"/>
              <w:jc w:val="right"/>
              <w:rPr>
                <w:b/>
              </w:rPr>
            </w:pPr>
            <w:r>
              <w:rPr>
                <w:b/>
              </w:rPr>
              <w:t>СЕЛЬСКОГО  ПОСЕЛЕНИЯ</w:t>
            </w:r>
          </w:p>
          <w:p w14:paraId="495977B5">
            <w:pPr>
              <w:pStyle w:val="4"/>
              <w:jc w:val="right"/>
              <w:rPr>
                <w:b/>
              </w:rPr>
            </w:pPr>
            <w:r>
              <w:rPr>
                <w:b/>
              </w:rPr>
              <w:t xml:space="preserve"> СУМОНА ЧАЗЫЛАР</w:t>
            </w:r>
          </w:p>
          <w:p w14:paraId="2A7578C3">
            <w:pPr>
              <w:pStyle w:val="4"/>
              <w:jc w:val="right"/>
              <w:rPr>
                <w:b/>
              </w:rPr>
            </w:pPr>
            <w:r>
              <w:rPr>
                <w:b/>
              </w:rPr>
              <w:t>ТОДЖИНСКОГО КОЖУУНА</w:t>
            </w:r>
          </w:p>
          <w:p w14:paraId="3A86EFDF">
            <w:pPr>
              <w:pStyle w:val="4"/>
              <w:jc w:val="right"/>
              <w:rPr>
                <w:b/>
              </w:rPr>
            </w:pPr>
            <w:r>
              <w:rPr>
                <w:b/>
              </w:rPr>
              <w:t>РЕСПУБЛИКИ ТЫВА</w:t>
            </w:r>
          </w:p>
          <w:p w14:paraId="5581015E">
            <w:pPr>
              <w:pStyle w:val="4"/>
              <w:jc w:val="right"/>
              <w:rPr>
                <w:b/>
                <w:sz w:val="20"/>
                <w:szCs w:val="20"/>
              </w:rPr>
            </w:pPr>
          </w:p>
          <w:p w14:paraId="192EA37D">
            <w:pPr>
              <w:pStyle w:val="4"/>
              <w:jc w:val="right"/>
              <w:rPr>
                <w:b/>
                <w:sz w:val="20"/>
                <w:szCs w:val="20"/>
              </w:rPr>
            </w:pPr>
            <w:r>
              <w:rPr>
                <w:b/>
                <w:sz w:val="20"/>
                <w:szCs w:val="20"/>
              </w:rPr>
              <w:t>668550,  с.Чазылары, Тоджинский кожуун ул:Ленина,1, тел. 8-394-50-2-11-72</w:t>
            </w:r>
          </w:p>
          <w:p w14:paraId="4B489865">
            <w:pPr>
              <w:pStyle w:val="4"/>
              <w:jc w:val="right"/>
            </w:pPr>
            <w:r>
              <w:fldChar w:fldCharType="begin"/>
            </w:r>
            <w:r>
              <w:instrText xml:space="preserve"> HYPERLINK "mailto:spshazylarskyay@maij.ru" </w:instrText>
            </w:r>
            <w:r>
              <w:fldChar w:fldCharType="separate"/>
            </w:r>
            <w:r>
              <w:rPr>
                <w:b/>
                <w:sz w:val="20"/>
                <w:szCs w:val="20"/>
                <w:lang w:val="en-US"/>
              </w:rPr>
              <w:t>spshazylarskyay</w:t>
            </w:r>
            <w:r>
              <w:rPr>
                <w:b/>
                <w:sz w:val="20"/>
                <w:szCs w:val="20"/>
                <w:lang w:val="en-US"/>
              </w:rPr>
              <w:fldChar w:fldCharType="end"/>
            </w:r>
            <w:r>
              <w:fldChar w:fldCharType="begin"/>
            </w:r>
            <w:r>
              <w:instrText xml:space="preserve"> HYPERLINK "mailto:spshazylarskyay@maij.ru" </w:instrText>
            </w:r>
            <w:r>
              <w:fldChar w:fldCharType="separate"/>
            </w:r>
            <w:r>
              <w:rPr>
                <w:b/>
                <w:sz w:val="20"/>
                <w:szCs w:val="20"/>
              </w:rPr>
              <w:t>@</w:t>
            </w:r>
            <w:r>
              <w:rPr>
                <w:b/>
                <w:sz w:val="20"/>
                <w:szCs w:val="20"/>
              </w:rPr>
              <w:fldChar w:fldCharType="end"/>
            </w:r>
            <w:r>
              <w:fldChar w:fldCharType="begin"/>
            </w:r>
            <w:r>
              <w:instrText xml:space="preserve"> HYPERLINK "mailto:spshazylarskyay@maij.ru" </w:instrText>
            </w:r>
            <w:r>
              <w:fldChar w:fldCharType="separate"/>
            </w:r>
            <w:r>
              <w:rPr>
                <w:b/>
                <w:sz w:val="20"/>
                <w:szCs w:val="20"/>
                <w:lang w:val="en-US"/>
              </w:rPr>
              <w:t>mai</w:t>
            </w:r>
            <w:r>
              <w:rPr>
                <w:b/>
                <w:sz w:val="20"/>
                <w:szCs w:val="20"/>
                <w:lang w:val="en-US"/>
              </w:rPr>
              <w:fldChar w:fldCharType="end"/>
            </w:r>
            <w:r>
              <w:rPr>
                <w:b/>
                <w:sz w:val="20"/>
                <w:szCs w:val="20"/>
                <w:lang w:val="en-US"/>
              </w:rPr>
              <w:t>l</w:t>
            </w:r>
            <w:r>
              <w:fldChar w:fldCharType="begin"/>
            </w:r>
            <w:r>
              <w:instrText xml:space="preserve"> HYPERLINK "mailto:spshazylarskyay@maij.ru" </w:instrText>
            </w:r>
            <w:r>
              <w:fldChar w:fldCharType="separate"/>
            </w:r>
            <w:r>
              <w:rPr>
                <w:b/>
                <w:sz w:val="20"/>
                <w:szCs w:val="20"/>
              </w:rPr>
              <w:t>.</w:t>
            </w:r>
            <w:r>
              <w:rPr>
                <w:b/>
                <w:sz w:val="20"/>
                <w:szCs w:val="20"/>
              </w:rPr>
              <w:fldChar w:fldCharType="end"/>
            </w:r>
            <w:r>
              <w:fldChar w:fldCharType="begin"/>
            </w:r>
            <w:r>
              <w:instrText xml:space="preserve"> HYPERLINK "mailto:spshazylarskyay@maij.ru" </w:instrText>
            </w:r>
            <w:r>
              <w:fldChar w:fldCharType="separate"/>
            </w:r>
            <w:r>
              <w:rPr>
                <w:b/>
                <w:sz w:val="20"/>
                <w:szCs w:val="20"/>
                <w:lang w:val="en-US"/>
              </w:rPr>
              <w:t>ru</w:t>
            </w:r>
            <w:r>
              <w:rPr>
                <w:b/>
                <w:sz w:val="20"/>
                <w:szCs w:val="20"/>
                <w:lang w:val="en-US"/>
              </w:rPr>
              <w:fldChar w:fldCharType="end"/>
            </w:r>
          </w:p>
          <w:p w14:paraId="45E86E2A">
            <w:pPr>
              <w:pStyle w:val="4"/>
              <w:rPr>
                <w:b/>
                <w:sz w:val="20"/>
                <w:szCs w:val="20"/>
                <w:lang w:val="en-US"/>
              </w:rPr>
            </w:pPr>
          </w:p>
        </w:tc>
      </w:tr>
    </w:tbl>
    <w:p w14:paraId="48999E3E">
      <w:pPr>
        <w:widowControl w:val="0"/>
        <w:autoSpaceDE w:val="0"/>
        <w:autoSpaceDN w:val="0"/>
        <w:adjustRightInd w:val="0"/>
        <w:spacing w:after="0" w:line="240" w:lineRule="auto"/>
        <w:rPr>
          <w:rFonts w:ascii="Times New Roman" w:hAnsi="Times New Roman" w:eastAsia="Times New Roman" w:cs="Times New Roman"/>
          <w:sz w:val="24"/>
          <w:szCs w:val="24"/>
          <w:lang w:eastAsia="ru-RU"/>
        </w:rPr>
      </w:pPr>
    </w:p>
    <w:p w14:paraId="46BD8999">
      <w:pPr>
        <w:widowControl w:val="0"/>
        <w:autoSpaceDE w:val="0"/>
        <w:autoSpaceDN w:val="0"/>
        <w:adjustRightInd w:val="0"/>
        <w:spacing w:after="0" w:line="240" w:lineRule="auto"/>
        <w:rPr>
          <w:rFonts w:hint="default"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w:t>
      </w:r>
      <w:r>
        <w:rPr>
          <w:rFonts w:hint="default" w:ascii="Times New Roman" w:hAnsi="Times New Roman" w:eastAsia="Times New Roman" w:cs="Times New Roman"/>
          <w:sz w:val="24"/>
          <w:szCs w:val="24"/>
          <w:lang w:val="en-US" w:eastAsia="ru-RU"/>
        </w:rPr>
        <w:t>4                                                                                                                «14» мая 2026 год</w:t>
      </w:r>
    </w:p>
    <w:p w14:paraId="047F9D98">
      <w:pPr>
        <w:autoSpaceDE w:val="0"/>
        <w:autoSpaceDN w:val="0"/>
        <w:adjustRightInd w:val="0"/>
        <w:spacing w:before="226" w:after="0" w:line="274" w:lineRule="exact"/>
        <w:ind w:firstLine="408"/>
        <w:jc w:val="center"/>
        <w:rPr>
          <w:rFonts w:ascii="Times New Roman" w:hAnsi="Times New Roman" w:eastAsia="Times New Roman" w:cs="Times New Roman"/>
          <w:b/>
          <w:spacing w:val="10"/>
          <w:sz w:val="28"/>
          <w:szCs w:val="28"/>
          <w:lang w:eastAsia="ru-RU"/>
        </w:rPr>
      </w:pPr>
      <w:r>
        <w:rPr>
          <w:rFonts w:ascii="Times New Roman" w:hAnsi="Times New Roman" w:eastAsia="Times New Roman" w:cs="Times New Roman"/>
          <w:b/>
          <w:spacing w:val="10"/>
          <w:sz w:val="28"/>
          <w:szCs w:val="28"/>
          <w:lang w:eastAsia="ru-RU"/>
        </w:rPr>
        <w:t>ПОСТАНОВЛЕНИЕ</w:t>
      </w:r>
    </w:p>
    <w:p w14:paraId="50F14DF9">
      <w:pPr>
        <w:autoSpaceDE w:val="0"/>
        <w:autoSpaceDN w:val="0"/>
        <w:adjustRightInd w:val="0"/>
        <w:spacing w:before="226" w:after="0" w:line="274" w:lineRule="exact"/>
        <w:ind w:firstLine="408"/>
        <w:jc w:val="center"/>
        <w:rPr>
          <w:rFonts w:ascii="Times New Roman" w:hAnsi="Times New Roman" w:eastAsia="Times New Roman" w:cs="Times New Roman"/>
          <w:b/>
          <w:spacing w:val="10"/>
          <w:sz w:val="28"/>
          <w:szCs w:val="28"/>
          <w:lang w:eastAsia="ru-RU"/>
        </w:rPr>
      </w:pPr>
      <w:r>
        <w:rPr>
          <w:rFonts w:ascii="Times New Roman" w:hAnsi="Times New Roman" w:eastAsia="Times New Roman" w:cs="Times New Roman"/>
          <w:b/>
          <w:spacing w:val="10"/>
          <w:sz w:val="28"/>
          <w:szCs w:val="28"/>
          <w:lang w:eastAsia="ru-RU"/>
        </w:rPr>
        <w:t xml:space="preserve"> Администрации сельского поселения сумона Чазылары Тоджинского кожууна Республики Тыва</w:t>
      </w:r>
    </w:p>
    <w:p w14:paraId="29D6F100">
      <w:pPr>
        <w:autoSpaceDE w:val="0"/>
        <w:autoSpaceDN w:val="0"/>
        <w:adjustRightInd w:val="0"/>
        <w:spacing w:before="226" w:after="0" w:line="274" w:lineRule="exact"/>
        <w:ind w:firstLine="408"/>
        <w:jc w:val="center"/>
        <w:rPr>
          <w:rFonts w:ascii="Times New Roman" w:hAnsi="Times New Roman" w:eastAsia="Times New Roman" w:cs="Times New Roman"/>
          <w:b/>
          <w:spacing w:val="10"/>
          <w:sz w:val="28"/>
          <w:szCs w:val="28"/>
          <w:lang w:eastAsia="ru-RU"/>
        </w:rPr>
      </w:pPr>
    </w:p>
    <w:p w14:paraId="0ABBF369">
      <w:pPr>
        <w:widowControl w:val="0"/>
        <w:shd w:val="clear" w:color="auto" w:fill="FFFFFF"/>
        <w:autoSpaceDE w:val="0"/>
        <w:autoSpaceDN w:val="0"/>
        <w:adjustRightInd w:val="0"/>
        <w:spacing w:after="0" w:line="240" w:lineRule="auto"/>
        <w:jc w:val="center"/>
        <w:rPr>
          <w:rFonts w:ascii="Times New Roman" w:hAnsi="Times New Roman" w:eastAsia="Times New Roman" w:cs="Times New Roman"/>
          <w:b/>
          <w:color w:val="1A1A1A"/>
          <w:sz w:val="28"/>
          <w:szCs w:val="28"/>
          <w:lang w:eastAsia="ru-RU"/>
        </w:rPr>
      </w:pPr>
      <w:r>
        <w:rPr>
          <w:rFonts w:ascii="Times New Roman" w:hAnsi="Times New Roman" w:eastAsia="Times New Roman" w:cs="Times New Roman"/>
          <w:b/>
          <w:color w:val="1A1A1A"/>
          <w:sz w:val="28"/>
          <w:szCs w:val="28"/>
          <w:lang w:eastAsia="ru-RU"/>
        </w:rPr>
        <w:t>Об утверждении требований к обеспечению для инвалидов по зрению доступности информации о деятельности администрации сельского поселения сумона Чазылары Тоджинского кожууна Республики Тыва в информационно-телекоммуникационной сети «Интернет»</w:t>
      </w:r>
    </w:p>
    <w:p w14:paraId="284C6EA1">
      <w:pPr>
        <w:widowControl w:val="0"/>
        <w:shd w:val="clear" w:color="auto" w:fill="FFFFFF"/>
        <w:autoSpaceDE w:val="0"/>
        <w:autoSpaceDN w:val="0"/>
        <w:adjustRightInd w:val="0"/>
        <w:spacing w:after="0" w:line="240" w:lineRule="auto"/>
        <w:rPr>
          <w:rFonts w:ascii="Times New Roman" w:hAnsi="Times New Roman" w:eastAsia="Times New Roman" w:cs="Times New Roman"/>
          <w:sz w:val="28"/>
          <w:szCs w:val="28"/>
          <w:lang w:eastAsia="ru-RU"/>
        </w:rPr>
      </w:pPr>
    </w:p>
    <w:p w14:paraId="5EF27C6B">
      <w:pPr>
        <w:shd w:val="clear" w:color="auto" w:fill="FFFFFF"/>
        <w:spacing w:after="0" w:line="240" w:lineRule="auto"/>
        <w:jc w:val="both"/>
        <w:textAlignment w:val="baseline"/>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t xml:space="preserve">   На основании Постановления Правительства от 07.02.2026 № 102 «</w:t>
      </w:r>
      <w:r>
        <w:rPr>
          <w:rFonts w:ascii="Times New Roman" w:hAnsi="Times New Roman" w:eastAsia="Times New Roman" w:cs="Times New Roman"/>
          <w:bCs/>
          <w:sz w:val="28"/>
          <w:szCs w:val="28"/>
          <w:lang w:eastAsia="ru-RU"/>
        </w:rPr>
        <w:t>Об утверждении </w:t>
      </w:r>
      <w:r>
        <w:fldChar w:fldCharType="begin"/>
      </w:r>
      <w:r>
        <w:instrText xml:space="preserve"> HYPERLINK "https://docs.cntd.ru/document/1315925255" \l "6540IN" </w:instrText>
      </w:r>
      <w:r>
        <w:fldChar w:fldCharType="separate"/>
      </w:r>
      <w:r>
        <w:rPr>
          <w:rFonts w:ascii="Times New Roman" w:hAnsi="Times New Roman" w:eastAsia="Times New Roman" w:cs="Times New Roman"/>
          <w:bCs/>
          <w:sz w:val="28"/>
          <w:szCs w:val="28"/>
          <w:lang w:eastAsia="ru-RU"/>
        </w:rPr>
        <w:t>требований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им организаций в информационно-телекоммуникационной сети "Интернет"</w:t>
      </w:r>
      <w:r>
        <w:rPr>
          <w:rFonts w:ascii="Times New Roman" w:hAnsi="Times New Roman" w:eastAsia="Times New Roman" w:cs="Times New Roman"/>
          <w:bCs/>
          <w:sz w:val="28"/>
          <w:szCs w:val="28"/>
          <w:lang w:eastAsia="ru-RU"/>
        </w:rPr>
        <w:fldChar w:fldCharType="end"/>
      </w:r>
      <w:r>
        <w:rPr>
          <w:rFonts w:ascii="Times New Roman" w:hAnsi="Times New Roman" w:eastAsia="Times New Roman" w:cs="Times New Roman"/>
          <w:bCs/>
          <w:sz w:val="28"/>
          <w:szCs w:val="28"/>
          <w:lang w:eastAsia="ru-RU"/>
        </w:rPr>
        <w:t xml:space="preserve">», </w:t>
      </w:r>
      <w:r>
        <w:rPr>
          <w:rFonts w:ascii="Times New Roman" w:hAnsi="Times New Roman" w:eastAsia="Times New Roman" w:cs="Times New Roman"/>
          <w:sz w:val="28"/>
          <w:szCs w:val="28"/>
          <w:lang w:eastAsia="ru-RU"/>
        </w:rPr>
        <w:t>Постановляет:</w:t>
      </w:r>
    </w:p>
    <w:p w14:paraId="2BF2450F">
      <w:pPr>
        <w:shd w:val="clear" w:color="auto" w:fill="FFFFFF"/>
        <w:spacing w:after="0" w:line="240" w:lineRule="auto"/>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77EE4E64">
      <w:pPr>
        <w:widowControl w:val="0"/>
        <w:numPr>
          <w:ilvl w:val="0"/>
          <w:numId w:val="1"/>
        </w:numPr>
        <w:shd w:val="clear" w:color="auto" w:fill="FFFFFF"/>
        <w:autoSpaceDE w:val="0"/>
        <w:autoSpaceDN w:val="0"/>
        <w:adjustRightInd w:val="0"/>
        <w:spacing w:after="240" w:line="240" w:lineRule="auto"/>
        <w:textAlignment w:val="baseline"/>
        <w:rPr>
          <w:rFonts w:ascii="Times New Roman" w:hAnsi="Times New Roman" w:eastAsia="Times New Roman" w:cs="Times New Roman"/>
          <w:bCs/>
          <w:sz w:val="28"/>
          <w:szCs w:val="28"/>
          <w:lang w:eastAsia="ru-RU"/>
        </w:rPr>
      </w:pPr>
      <w:r>
        <w:rPr>
          <w:rFonts w:ascii="Times New Roman" w:hAnsi="Times New Roman" w:eastAsia="Times New Roman" w:cs="Times New Roman"/>
          <w:bCs/>
          <w:sz w:val="28"/>
          <w:szCs w:val="28"/>
          <w:lang w:eastAsia="ru-RU"/>
        </w:rPr>
        <w:t xml:space="preserve">  Утвердить требования к обеспечению для инвалидов по зрению доступности информации о деятельности администрации сельского поселения сумона Чазылары Тоджинского кожууна Республики Тыва содержащейся на официальном сайте в информационно-телекоммуникационной сети "Интернет"</w:t>
      </w:r>
    </w:p>
    <w:p w14:paraId="3775CC62">
      <w:pPr>
        <w:shd w:val="clear" w:color="auto" w:fill="FFFFFF"/>
        <w:spacing w:after="240" w:line="240" w:lineRule="auto"/>
        <w:ind w:left="720"/>
        <w:textAlignment w:val="baseline"/>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t xml:space="preserve"> 2. Контроль за исполнением настоящего постановления оставляю за собой.</w:t>
      </w:r>
    </w:p>
    <w:p w14:paraId="30FDAA8F">
      <w:pPr>
        <w:widowControl w:val="0"/>
        <w:tabs>
          <w:tab w:val="left" w:pos="851"/>
        </w:tabs>
        <w:autoSpaceDE w:val="0"/>
        <w:autoSpaceDN w:val="0"/>
        <w:adjustRightInd w:val="0"/>
        <w:spacing w:after="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3.  Настоящее постановление разместить на официальном сайте    администрации </w:t>
      </w:r>
      <w:r>
        <w:rPr>
          <w:rFonts w:ascii="Times New Roman" w:hAnsi="Times New Roman" w:eastAsia="Times New Roman" w:cs="Times New Roman"/>
          <w:iCs/>
          <w:spacing w:val="2"/>
          <w:sz w:val="28"/>
          <w:szCs w:val="28"/>
          <w:lang w:eastAsia="ru-RU"/>
        </w:rPr>
        <w:t>сельского поселения сумона Чазылары Тоджинского кожууна Республики Тыва</w:t>
      </w:r>
      <w:r>
        <w:rPr>
          <w:rFonts w:ascii="Times New Roman" w:hAnsi="Times New Roman" w:eastAsia="Times New Roman" w:cs="Times New Roman"/>
          <w:sz w:val="28"/>
          <w:szCs w:val="28"/>
          <w:lang w:eastAsia="ru-RU"/>
        </w:rPr>
        <w:t xml:space="preserve"> в сети «Интернет».</w:t>
      </w:r>
    </w:p>
    <w:p w14:paraId="37431B96">
      <w:pPr>
        <w:shd w:val="clear" w:color="auto" w:fill="FFFFFF"/>
        <w:spacing w:after="240" w:line="240" w:lineRule="auto"/>
        <w:ind w:left="720"/>
        <w:textAlignment w:val="baseline"/>
        <w:rPr>
          <w:rFonts w:ascii="Times New Roman" w:hAnsi="Times New Roman" w:eastAsia="Times New Roman" w:cs="Times New Roman"/>
          <w:bCs/>
          <w:sz w:val="28"/>
          <w:szCs w:val="28"/>
          <w:lang w:eastAsia="ru-RU"/>
        </w:rPr>
      </w:pPr>
    </w:p>
    <w:p w14:paraId="27D82197">
      <w:pPr>
        <w:shd w:val="clear" w:color="auto" w:fill="FFFFFF"/>
        <w:spacing w:after="240" w:line="240" w:lineRule="auto"/>
        <w:textAlignment w:val="baseline"/>
        <w:rPr>
          <w:rFonts w:ascii="Times New Roman" w:hAnsi="Times New Roman" w:eastAsia="Times New Roman" w:cs="Times New Roman"/>
          <w:bCs/>
          <w:sz w:val="28"/>
          <w:szCs w:val="28"/>
          <w:lang w:eastAsia="ru-RU"/>
        </w:rPr>
      </w:pPr>
    </w:p>
    <w:p w14:paraId="66A3FA5F">
      <w:pPr>
        <w:widowControl w:val="0"/>
        <w:shd w:val="clear" w:color="auto" w:fill="FFFFFF"/>
        <w:autoSpaceDE w:val="0"/>
        <w:autoSpaceDN w:val="0"/>
        <w:adjustRightInd w:val="0"/>
        <w:spacing w:after="0" w:line="240" w:lineRule="auto"/>
        <w:rPr>
          <w:rFonts w:hint="default"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eastAsia="ru-RU"/>
        </w:rPr>
        <w:t>И</w:t>
      </w:r>
      <w:r>
        <w:rPr>
          <w:rFonts w:hint="default" w:ascii="Times New Roman" w:hAnsi="Times New Roman" w:eastAsia="Times New Roman" w:cs="Times New Roman"/>
          <w:sz w:val="28"/>
          <w:szCs w:val="28"/>
          <w:lang w:val="en-US" w:eastAsia="ru-RU"/>
        </w:rPr>
        <w:t>.о.п</w:t>
      </w:r>
      <w:r>
        <w:rPr>
          <w:rFonts w:ascii="Times New Roman" w:hAnsi="Times New Roman" w:eastAsia="Times New Roman" w:cs="Times New Roman"/>
          <w:sz w:val="28"/>
          <w:szCs w:val="28"/>
          <w:lang w:eastAsia="ru-RU"/>
        </w:rPr>
        <w:t xml:space="preserve">редседателя администрации                               </w:t>
      </w:r>
      <w:r>
        <w:rPr>
          <w:rFonts w:hint="default" w:ascii="Times New Roman" w:hAnsi="Times New Roman" w:eastAsia="Times New Roman" w:cs="Times New Roman"/>
          <w:sz w:val="28"/>
          <w:szCs w:val="28"/>
          <w:lang w:val="en-US" w:eastAsia="ru-RU"/>
        </w:rPr>
        <w:t xml:space="preserve"> Д.В.Саин-Белек</w:t>
      </w:r>
    </w:p>
    <w:p w14:paraId="1D5EB078">
      <w:pPr>
        <w:widowControl w:val="0"/>
        <w:shd w:val="clear" w:color="auto" w:fill="FFFFFF"/>
        <w:autoSpaceDE w:val="0"/>
        <w:autoSpaceDN w:val="0"/>
        <w:adjustRightInd w:val="0"/>
        <w:spacing w:after="0" w:line="240" w:lineRule="auto"/>
        <w:jc w:val="right"/>
        <w:rPr>
          <w:rFonts w:ascii="Times New Roman" w:hAnsi="Times New Roman" w:eastAsia="Times New Roman" w:cs="Times New Roman"/>
          <w:sz w:val="24"/>
          <w:szCs w:val="24"/>
          <w:lang w:eastAsia="ru-RU"/>
        </w:rPr>
      </w:pPr>
    </w:p>
    <w:p w14:paraId="08AB0BB1">
      <w:pPr>
        <w:widowControl w:val="0"/>
        <w:shd w:val="clear" w:color="auto" w:fill="FFFFFF"/>
        <w:autoSpaceDE w:val="0"/>
        <w:autoSpaceDN w:val="0"/>
        <w:adjustRightInd w:val="0"/>
        <w:spacing w:after="0" w:line="240" w:lineRule="auto"/>
        <w:jc w:val="right"/>
        <w:rPr>
          <w:rFonts w:ascii="Times New Roman" w:hAnsi="Times New Roman" w:eastAsia="Times New Roman" w:cs="Times New Roman"/>
          <w:sz w:val="24"/>
          <w:szCs w:val="24"/>
          <w:lang w:eastAsia="ru-RU"/>
        </w:rPr>
      </w:pPr>
    </w:p>
    <w:p w14:paraId="458F0F33">
      <w:pPr>
        <w:widowControl w:val="0"/>
        <w:shd w:val="clear" w:color="auto" w:fill="FFFFFF"/>
        <w:autoSpaceDE w:val="0"/>
        <w:autoSpaceDN w:val="0"/>
        <w:adjustRightInd w:val="0"/>
        <w:spacing w:after="0" w:line="240" w:lineRule="auto"/>
        <w:jc w:val="right"/>
        <w:rPr>
          <w:rFonts w:ascii="Times New Roman" w:hAnsi="Times New Roman" w:eastAsia="Times New Roman" w:cs="Times New Roman"/>
          <w:sz w:val="24"/>
          <w:szCs w:val="24"/>
          <w:lang w:eastAsia="ru-RU"/>
        </w:rPr>
      </w:pPr>
    </w:p>
    <w:p w14:paraId="69DE0E40">
      <w:pPr>
        <w:widowControl w:val="0"/>
        <w:shd w:val="clear" w:color="auto" w:fill="FFFFFF"/>
        <w:autoSpaceDE w:val="0"/>
        <w:autoSpaceDN w:val="0"/>
        <w:adjustRightInd w:val="0"/>
        <w:spacing w:after="0" w:line="240" w:lineRule="auto"/>
        <w:jc w:val="right"/>
        <w:rPr>
          <w:rFonts w:ascii="Times New Roman" w:hAnsi="Times New Roman" w:eastAsia="Times New Roman" w:cs="Times New Roman"/>
          <w:sz w:val="24"/>
          <w:szCs w:val="24"/>
          <w:lang w:eastAsia="ru-RU"/>
        </w:rPr>
      </w:pPr>
    </w:p>
    <w:p w14:paraId="4066C199">
      <w:pPr>
        <w:widowControl w:val="0"/>
        <w:shd w:val="clear" w:color="auto" w:fill="FFFFFF"/>
        <w:autoSpaceDE w:val="0"/>
        <w:autoSpaceDN w:val="0"/>
        <w:adjustRightInd w:val="0"/>
        <w:spacing w:after="0" w:line="240" w:lineRule="auto"/>
        <w:jc w:val="right"/>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Утверждено </w:t>
      </w:r>
    </w:p>
    <w:p w14:paraId="1D88EFB1">
      <w:pPr>
        <w:shd w:val="clear" w:color="auto" w:fill="FFFFFF"/>
        <w:spacing w:after="0" w:line="240" w:lineRule="auto"/>
        <w:jc w:val="right"/>
        <w:textAlignment w:val="baseline"/>
        <w:rPr>
          <w:rFonts w:ascii="Times New Roman" w:hAnsi="Times New Roman" w:eastAsia="Times New Roman" w:cs="Times New Roman"/>
          <w:sz w:val="24"/>
          <w:szCs w:val="24"/>
          <w:lang w:eastAsia="ru-RU"/>
        </w:rPr>
      </w:pPr>
    </w:p>
    <w:p w14:paraId="70092372">
      <w:pPr>
        <w:shd w:val="clear" w:color="auto" w:fill="FFFFFF"/>
        <w:spacing w:after="0" w:line="240" w:lineRule="auto"/>
        <w:jc w:val="right"/>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Постановлением администрации</w:t>
      </w:r>
    </w:p>
    <w:p w14:paraId="3C69E427">
      <w:pPr>
        <w:shd w:val="clear" w:color="auto" w:fill="FFFFFF"/>
        <w:spacing w:after="0" w:line="240" w:lineRule="auto"/>
        <w:jc w:val="center"/>
        <w:textAlignment w:val="baseline"/>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 xml:space="preserve">                                                                                                                        </w:t>
      </w:r>
      <w:bookmarkStart w:id="0" w:name="_GoBack"/>
      <w:bookmarkEnd w:id="0"/>
      <w:r>
        <w:rPr>
          <w:rFonts w:ascii="Times New Roman" w:hAnsi="Times New Roman" w:eastAsia="Times New Roman" w:cs="Times New Roman"/>
          <w:sz w:val="24"/>
          <w:szCs w:val="24"/>
          <w:lang w:eastAsia="ru-RU"/>
        </w:rPr>
        <w:t>№</w:t>
      </w:r>
      <w:r>
        <w:rPr>
          <w:rFonts w:hint="default" w:ascii="Times New Roman" w:hAnsi="Times New Roman" w:eastAsia="Times New Roman" w:cs="Times New Roman"/>
          <w:sz w:val="24"/>
          <w:szCs w:val="24"/>
          <w:lang w:val="en-US" w:eastAsia="ru-RU"/>
        </w:rPr>
        <w:t>4</w:t>
      </w:r>
      <w:r>
        <w:rPr>
          <w:rFonts w:ascii="Times New Roman" w:hAnsi="Times New Roman" w:eastAsia="Times New Roman" w:cs="Times New Roman"/>
          <w:sz w:val="24"/>
          <w:szCs w:val="24"/>
          <w:lang w:eastAsia="ru-RU"/>
        </w:rPr>
        <w:t xml:space="preserve"> от </w:t>
      </w:r>
      <w:r>
        <w:rPr>
          <w:rFonts w:hint="default" w:ascii="Times New Roman" w:hAnsi="Times New Roman" w:eastAsia="Times New Roman" w:cs="Times New Roman"/>
          <w:sz w:val="24"/>
          <w:szCs w:val="24"/>
          <w:lang w:val="en-US" w:eastAsia="ru-RU"/>
        </w:rPr>
        <w:t>26.05.2026г</w:t>
      </w:r>
    </w:p>
    <w:p w14:paraId="51C25101">
      <w:pPr>
        <w:shd w:val="clear" w:color="auto" w:fill="FFFFFF"/>
        <w:spacing w:after="0" w:line="240" w:lineRule="auto"/>
        <w:jc w:val="right"/>
        <w:textAlignment w:val="baseline"/>
        <w:rPr>
          <w:rFonts w:ascii="Times New Roman" w:hAnsi="Times New Roman" w:eastAsia="Times New Roman" w:cs="Times New Roman"/>
          <w:sz w:val="24"/>
          <w:szCs w:val="24"/>
          <w:lang w:eastAsia="ru-RU"/>
        </w:rPr>
      </w:pPr>
    </w:p>
    <w:p w14:paraId="1A3AB02D">
      <w:pPr>
        <w:shd w:val="clear" w:color="auto" w:fill="FFFFFF"/>
        <w:spacing w:after="0" w:line="240" w:lineRule="auto"/>
        <w:jc w:val="center"/>
        <w:textAlignment w:val="baseline"/>
        <w:rPr>
          <w:rFonts w:ascii="Times New Roman" w:hAnsi="Times New Roman" w:eastAsia="Times New Roman" w:cs="Times New Roman"/>
          <w:b/>
          <w:bCs/>
          <w:sz w:val="28"/>
          <w:szCs w:val="28"/>
          <w:lang w:eastAsia="ru-RU"/>
        </w:rPr>
      </w:pPr>
      <w:r>
        <w:rPr>
          <w:rFonts w:ascii="Times New Roman" w:hAnsi="Times New Roman" w:eastAsia="Times New Roman" w:cs="Times New Roman"/>
          <w:b/>
          <w:bCs/>
          <w:sz w:val="28"/>
          <w:szCs w:val="28"/>
          <w:lang w:eastAsia="ru-RU"/>
        </w:rPr>
        <w:t>Требования</w:t>
      </w:r>
    </w:p>
    <w:p w14:paraId="2E1F7C9E">
      <w:pPr>
        <w:shd w:val="clear" w:color="auto" w:fill="FFFFFF"/>
        <w:spacing w:after="0" w:line="240" w:lineRule="auto"/>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bCs/>
          <w:sz w:val="28"/>
          <w:szCs w:val="28"/>
          <w:lang w:eastAsia="ru-RU"/>
        </w:rPr>
        <w:t>к обеспечению для инвалидов по зрению доступности информации о деятельности администрации сельского поселения сумона Чазылары Тоджинского кожууна Республики Тыва содержащейся на официальном сайте в информационно-телекоммуникационной сети "Интернет</w:t>
      </w:r>
    </w:p>
    <w:p w14:paraId="16ADCBFA">
      <w:pPr>
        <w:shd w:val="clear" w:color="auto" w:fill="FFFFFF"/>
        <w:spacing w:after="0" w:line="240" w:lineRule="auto"/>
        <w:jc w:val="both"/>
        <w:textAlignment w:val="baseline"/>
        <w:rPr>
          <w:rFonts w:ascii="Times New Roman" w:hAnsi="Times New Roman" w:eastAsia="Times New Roman" w:cs="Times New Roman"/>
          <w:sz w:val="28"/>
          <w:szCs w:val="28"/>
          <w:lang w:eastAsia="ru-RU"/>
        </w:rPr>
      </w:pPr>
    </w:p>
    <w:p w14:paraId="29784C19">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1. Настоящий документ устанавливает требования к обеспечению для инвалидов по зрению доступности информации о деятельности администрации сельского поселения сумона Чазылары Тоджинского кожууна в информационно-телекоммуникационной сети "Интернет" (далее – официальные сайты).</w:t>
      </w:r>
      <w:r>
        <w:rPr>
          <w:rFonts w:ascii="Times New Roman" w:hAnsi="Times New Roman" w:eastAsia="Times New Roman" w:cs="Times New Roman"/>
          <w:sz w:val="28"/>
          <w:szCs w:val="28"/>
          <w:lang w:eastAsia="ru-RU"/>
        </w:rPr>
        <w:br w:type="textWrapping"/>
      </w:r>
    </w:p>
    <w:p w14:paraId="038F60D6">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2.Администрация сельского поселения сумона Чазылары Тоджинского кожууна  в целях обеспечения доступности информации о своей деятельности, содержащейся на официальном сайте, должна обеспечить соответствие своего официального сайта следующим параметрам:</w:t>
      </w:r>
      <w:r>
        <w:rPr>
          <w:rFonts w:ascii="Times New Roman" w:hAnsi="Times New Roman" w:eastAsia="Times New Roman" w:cs="Times New Roman"/>
          <w:sz w:val="28"/>
          <w:szCs w:val="28"/>
          <w:lang w:eastAsia="ru-RU"/>
        </w:rPr>
        <w:br w:type="textWrapping"/>
      </w:r>
    </w:p>
    <w:p w14:paraId="34A9A5F3">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а) информация, размещаемая на официальных сайтах, беспрепятственно доступна при помощи клавиатуры, ограничения по времени нажатия клавиш которой отсутствуют, а также при помощи аппаратного и программного обеспечения, применяемого в том числе пользователем, являющимся инвалидом по зрению (далее - пользователь), отдельно или совместно с основным аппаратно-программным комплексом для обеспечения функциональности, не достижимой с помощью обычных аппаратных и программных средств (далее - вспомогательные технологии), включая программы экранного доступа, беспрепятственно считывающие структуру и последовательность, в которой представлена такая информация. Указанная информация должна соответствовать следующим критериям:</w:t>
      </w:r>
      <w:r>
        <w:rPr>
          <w:rFonts w:ascii="Times New Roman" w:hAnsi="Times New Roman" w:eastAsia="Times New Roman" w:cs="Times New Roman"/>
          <w:sz w:val="28"/>
          <w:szCs w:val="28"/>
          <w:lang w:eastAsia="ru-RU"/>
        </w:rPr>
        <w:br w:type="textWrapping"/>
      </w:r>
    </w:p>
    <w:p w14:paraId="07AC4E64">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информация, структура и смысловые связи могут быть определены программой для электронных вычислительных машин или доступны в текстовом формате;</w:t>
      </w:r>
      <w:r>
        <w:rPr>
          <w:rFonts w:ascii="Times New Roman" w:hAnsi="Times New Roman" w:eastAsia="Times New Roman" w:cs="Times New Roman"/>
          <w:sz w:val="28"/>
          <w:szCs w:val="28"/>
          <w:lang w:eastAsia="ru-RU"/>
        </w:rPr>
        <w:br w:type="textWrapping"/>
      </w:r>
    </w:p>
    <w:p w14:paraId="0B96D037">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информация должна быть структурирована таким образом, чтобы порядок ее представления, определяемый программным обеспечением, соответствовал смысловой логике контента;</w:t>
      </w:r>
      <w:r>
        <w:rPr>
          <w:rFonts w:ascii="Times New Roman" w:hAnsi="Times New Roman" w:eastAsia="Times New Roman" w:cs="Times New Roman"/>
          <w:sz w:val="28"/>
          <w:szCs w:val="28"/>
          <w:lang w:eastAsia="ru-RU"/>
        </w:rPr>
        <w:br w:type="textWrapping"/>
      </w:r>
    </w:p>
    <w:p w14:paraId="0D3DADB7">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осуществляется последовательное ориентирование по контенту и такое ориентирование влияет на значение или возможность управления контентом, указатель перемещается по компонентам контента в порядке, сохраняющем значение и возможность управления контентом;</w:t>
      </w:r>
      <w:r>
        <w:rPr>
          <w:rFonts w:ascii="Times New Roman" w:hAnsi="Times New Roman" w:eastAsia="Times New Roman" w:cs="Times New Roman"/>
          <w:sz w:val="28"/>
          <w:szCs w:val="28"/>
          <w:lang w:eastAsia="ru-RU"/>
        </w:rPr>
        <w:br w:type="textWrapping"/>
      </w:r>
    </w:p>
    <w:p w14:paraId="59F7E75D">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б) текстовая информация, размещаемая на официальных сайтах, масштабируется не менее чем на 200 процентов исходного масштаба интернет-страницы без применения вспомогательных технологий, потери функциональности и появления горизонтальной полосы прокрутки;</w:t>
      </w:r>
      <w:r>
        <w:rPr>
          <w:rFonts w:ascii="Times New Roman" w:hAnsi="Times New Roman" w:eastAsia="Times New Roman" w:cs="Times New Roman"/>
          <w:sz w:val="28"/>
          <w:szCs w:val="28"/>
          <w:lang w:eastAsia="ru-RU"/>
        </w:rPr>
        <w:br w:type="textWrapping"/>
      </w:r>
    </w:p>
    <w:p w14:paraId="18E76C7D">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 документы, представленные на официальных сайтах, доступны для чтения при помощи вспомогательных технологий, включая программы экранного доступа, и размечены в соответствии с положениями национального стандарта Российской Федерации </w:t>
      </w:r>
      <w:r>
        <w:fldChar w:fldCharType="begin"/>
      </w:r>
      <w:r>
        <w:instrText xml:space="preserve"> HYPERLINK "https://docs.cntd.ru/document/1200185001" \l "7D20K3" </w:instrText>
      </w:r>
      <w:r>
        <w:fldChar w:fldCharType="separate"/>
      </w:r>
      <w:r>
        <w:rPr>
          <w:rFonts w:ascii="Times New Roman" w:hAnsi="Times New Roman" w:eastAsia="Times New Roman" w:cs="Times New Roman"/>
          <w:sz w:val="28"/>
          <w:szCs w:val="28"/>
          <w:u w:val="single"/>
          <w:lang w:eastAsia="ru-RU"/>
        </w:rPr>
        <w:t>ГОСТ Р 70176-2022</w:t>
      </w:r>
      <w:r>
        <w:rPr>
          <w:rFonts w:ascii="Times New Roman" w:hAnsi="Times New Roman" w:eastAsia="Times New Roman" w:cs="Times New Roman"/>
          <w:sz w:val="28"/>
          <w:szCs w:val="28"/>
          <w:u w:val="single"/>
          <w:lang w:eastAsia="ru-RU"/>
        </w:rPr>
        <w:fldChar w:fldCharType="end"/>
      </w:r>
      <w:r>
        <w:rPr>
          <w:rFonts w:ascii="Times New Roman" w:hAnsi="Times New Roman" w:eastAsia="Times New Roman" w:cs="Times New Roman"/>
          <w:sz w:val="28"/>
          <w:szCs w:val="28"/>
          <w:lang w:eastAsia="ru-RU"/>
        </w:rPr>
        <w:t> "Интернет-ресурсы и другая информация, представленная в электронно-цифровой форме. Файлы формата PDF. Требования доступности для людей с инвалидностью и других лиц с ограничениями жизнедеятельности" (утвержден </w:t>
      </w:r>
      <w:r>
        <w:fldChar w:fldCharType="begin"/>
      </w:r>
      <w:r>
        <w:instrText xml:space="preserve"> HYPERLINK "https://docs.cntd.ru/document/351175297" \l "64S0IJ" </w:instrText>
      </w:r>
      <w:r>
        <w:fldChar w:fldCharType="separate"/>
      </w:r>
      <w:r>
        <w:rPr>
          <w:rFonts w:ascii="Times New Roman" w:hAnsi="Times New Roman" w:eastAsia="Times New Roman" w:cs="Times New Roman"/>
          <w:sz w:val="28"/>
          <w:szCs w:val="28"/>
          <w:u w:val="single"/>
          <w:lang w:eastAsia="ru-RU"/>
        </w:rPr>
        <w:t>приказом Федерального агентства по техническому регулированию и метрологии от 22 июня 2022 г. № 515-ст</w:t>
      </w:r>
      <w:r>
        <w:rPr>
          <w:rFonts w:ascii="Times New Roman" w:hAnsi="Times New Roman" w:eastAsia="Times New Roman" w:cs="Times New Roman"/>
          <w:sz w:val="28"/>
          <w:szCs w:val="28"/>
          <w:u w:val="single"/>
          <w:lang w:eastAsia="ru-RU"/>
        </w:rPr>
        <w:fldChar w:fldCharType="end"/>
      </w:r>
      <w:r>
        <w:rPr>
          <w:rFonts w:ascii="Times New Roman" w:hAnsi="Times New Roman" w:eastAsia="Times New Roman" w:cs="Times New Roman"/>
          <w:sz w:val="28"/>
          <w:szCs w:val="28"/>
          <w:lang w:eastAsia="ru-RU"/>
        </w:rPr>
        <w:t> и введен в действие 1 декабря 2022 г.) или на официальных сайтах представлены альтернативные версии таких документов, доступные для чтения при помощи вспомогательных технологий, включая программы экранного доступа;</w:t>
      </w:r>
      <w:r>
        <w:rPr>
          <w:rFonts w:ascii="Times New Roman" w:hAnsi="Times New Roman" w:eastAsia="Times New Roman" w:cs="Times New Roman"/>
          <w:sz w:val="28"/>
          <w:szCs w:val="28"/>
          <w:lang w:eastAsia="ru-RU"/>
        </w:rPr>
        <w:br w:type="textWrapping"/>
      </w:r>
    </w:p>
    <w:p w14:paraId="00CE6FFA">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 нетекстовая информация, размещаемая на официальных сайтах, должна быть представлена в альтернативной версии, доступной для чтения при помощи вспомогательных технологий, включая программы экранного доступа, с учетом следующих условий:</w:t>
      </w:r>
      <w:r>
        <w:rPr>
          <w:rFonts w:ascii="Times New Roman" w:hAnsi="Times New Roman" w:eastAsia="Times New Roman" w:cs="Times New Roman"/>
          <w:sz w:val="28"/>
          <w:szCs w:val="28"/>
          <w:lang w:eastAsia="ru-RU"/>
        </w:rPr>
        <w:br w:type="textWrapping"/>
      </w:r>
    </w:p>
    <w:p w14:paraId="7D21F1E6">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нетекстовый контент должен быть представлен в текстовой версии так, чтобы его можно было преобразовать в увеличенный шрифт, рельефно-точечный шрифт Брайля, речь, специальные знаки или упрощенный язык;</w:t>
      </w:r>
      <w:r>
        <w:rPr>
          <w:rFonts w:ascii="Times New Roman" w:hAnsi="Times New Roman" w:eastAsia="Times New Roman" w:cs="Times New Roman"/>
          <w:sz w:val="28"/>
          <w:szCs w:val="28"/>
          <w:lang w:eastAsia="ru-RU"/>
        </w:rPr>
        <w:br w:type="textWrapping"/>
      </w:r>
    </w:p>
    <w:p w14:paraId="0F35FD99">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весь нетекстовый контент должен иметь полную текстовую версию, кроме следующих случаев:</w:t>
      </w:r>
      <w:r>
        <w:rPr>
          <w:rFonts w:ascii="Times New Roman" w:hAnsi="Times New Roman" w:eastAsia="Times New Roman" w:cs="Times New Roman"/>
          <w:sz w:val="28"/>
          <w:szCs w:val="28"/>
          <w:lang w:eastAsia="ru-RU"/>
        </w:rPr>
        <w:br w:type="textWrapping"/>
      </w:r>
    </w:p>
    <w:p w14:paraId="3905B709">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нетекстовый контент является элементом управления или полем для ввода информации, то он должен иметь название, описывающее его назначение;</w:t>
      </w:r>
      <w:r>
        <w:rPr>
          <w:rFonts w:ascii="Times New Roman" w:hAnsi="Times New Roman" w:eastAsia="Times New Roman" w:cs="Times New Roman"/>
          <w:sz w:val="28"/>
          <w:szCs w:val="28"/>
          <w:lang w:eastAsia="ru-RU"/>
        </w:rPr>
        <w:br w:type="textWrapping"/>
      </w:r>
    </w:p>
    <w:p w14:paraId="68CE179F">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нетекстовый контент представлен в виде видео- или аудиоинформации, ограниченной по времени, то текстовая версия представляет собой как минимум краткое описание нетекстового контента (национальный стандарт Российской Федерации </w:t>
      </w:r>
      <w:r>
        <w:fldChar w:fldCharType="begin"/>
      </w:r>
      <w:r>
        <w:instrText xml:space="preserve"> HYPERLINK "https://docs.cntd.ru/document/1200167693" \l "7D20K3" </w:instrText>
      </w:r>
      <w:r>
        <w:fldChar w:fldCharType="separate"/>
      </w:r>
      <w:r>
        <w:rPr>
          <w:rFonts w:ascii="Times New Roman" w:hAnsi="Times New Roman" w:eastAsia="Times New Roman" w:cs="Times New Roman"/>
          <w:sz w:val="28"/>
          <w:szCs w:val="28"/>
          <w:u w:val="single"/>
          <w:lang w:eastAsia="ru-RU"/>
        </w:rPr>
        <w:t>ГОСТ Р 52872-2019</w:t>
      </w:r>
      <w:r>
        <w:rPr>
          <w:rFonts w:ascii="Times New Roman" w:hAnsi="Times New Roman" w:eastAsia="Times New Roman" w:cs="Times New Roman"/>
          <w:sz w:val="28"/>
          <w:szCs w:val="28"/>
          <w:u w:val="single"/>
          <w:lang w:eastAsia="ru-RU"/>
        </w:rPr>
        <w:fldChar w:fldCharType="end"/>
      </w:r>
      <w:r>
        <w:rPr>
          <w:rFonts w:ascii="Times New Roman" w:hAnsi="Times New Roman" w:eastAsia="Times New Roman" w:cs="Times New Roman"/>
          <w:sz w:val="28"/>
          <w:szCs w:val="28"/>
          <w:lang w:eastAsia="ru-RU"/>
        </w:rPr>
        <w:t>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 утвержденный </w:t>
      </w:r>
      <w:r>
        <w:fldChar w:fldCharType="begin"/>
      </w:r>
      <w:r>
        <w:instrText xml:space="preserve"> HYPERLINK "https://docs.cntd.ru/document/561372767" \l "7D20K3" </w:instrText>
      </w:r>
      <w:r>
        <w:fldChar w:fldCharType="separate"/>
      </w:r>
      <w:r>
        <w:rPr>
          <w:rFonts w:ascii="Times New Roman" w:hAnsi="Times New Roman" w:eastAsia="Times New Roman" w:cs="Times New Roman"/>
          <w:sz w:val="28"/>
          <w:szCs w:val="28"/>
          <w:u w:val="single"/>
          <w:lang w:eastAsia="ru-RU"/>
        </w:rPr>
        <w:t>приказом Федерального агентства по техническому регулированию и метрологии от 29 августа 2019 г. № 589-ст</w:t>
      </w:r>
      <w:r>
        <w:rPr>
          <w:rFonts w:ascii="Times New Roman" w:hAnsi="Times New Roman" w:eastAsia="Times New Roman" w:cs="Times New Roman"/>
          <w:sz w:val="28"/>
          <w:szCs w:val="28"/>
          <w:u w:val="single"/>
          <w:lang w:eastAsia="ru-RU"/>
        </w:rPr>
        <w:fldChar w:fldCharType="end"/>
      </w:r>
      <w:r>
        <w:rPr>
          <w:rFonts w:ascii="Times New Roman" w:hAnsi="Times New Roman" w:eastAsia="Times New Roman" w:cs="Times New Roman"/>
          <w:sz w:val="28"/>
          <w:szCs w:val="28"/>
          <w:lang w:eastAsia="ru-RU"/>
        </w:rPr>
        <w:t> и введенный в действие с 1 апреля 2020 г.);</w:t>
      </w:r>
      <w:r>
        <w:rPr>
          <w:rFonts w:ascii="Times New Roman" w:hAnsi="Times New Roman" w:eastAsia="Times New Roman" w:cs="Times New Roman"/>
          <w:sz w:val="28"/>
          <w:szCs w:val="28"/>
          <w:lang w:eastAsia="ru-RU"/>
        </w:rPr>
        <w:br w:type="textWrapping"/>
      </w:r>
    </w:p>
    <w:p w14:paraId="3EA09F74">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нетекстовый контент является тестом или упражнением, которые потеряют свою функциональность, если будут представлены в виде текста, то текстовая версия представляет собой как минимум краткое описание нетекстового контента;</w:t>
      </w:r>
      <w:r>
        <w:rPr>
          <w:rFonts w:ascii="Times New Roman" w:hAnsi="Times New Roman" w:eastAsia="Times New Roman" w:cs="Times New Roman"/>
          <w:sz w:val="28"/>
          <w:szCs w:val="28"/>
          <w:lang w:eastAsia="ru-RU"/>
        </w:rPr>
        <w:br w:type="textWrapping"/>
      </w:r>
    </w:p>
    <w:p w14:paraId="78754DA3">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нетекстовый контент в первую очередь предназначен для получения специфического сенсорного опыта, то текстовая версия представляет собой как минимум краткое описание нетекстового контента;</w:t>
      </w:r>
      <w:r>
        <w:rPr>
          <w:rFonts w:ascii="Times New Roman" w:hAnsi="Times New Roman" w:eastAsia="Times New Roman" w:cs="Times New Roman"/>
          <w:sz w:val="28"/>
          <w:szCs w:val="28"/>
          <w:lang w:eastAsia="ru-RU"/>
        </w:rPr>
        <w:br w:type="textWrapping"/>
      </w:r>
    </w:p>
    <w:p w14:paraId="1798CF36">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нетекстовый контент применяется с целью подтверждения того, что контент используется человеком, а не электронной вычислительной машиной, то представляется текстовая версия, которая определяет нетекстовый контент и описывает цель его использования, а также представляются альтернативные формы такого нетекстового контента, использующие доступные для различных типов сенсорного восприятия способы представления информации;</w:t>
      </w:r>
      <w:r>
        <w:rPr>
          <w:rFonts w:ascii="Times New Roman" w:hAnsi="Times New Roman" w:eastAsia="Times New Roman" w:cs="Times New Roman"/>
          <w:sz w:val="28"/>
          <w:szCs w:val="28"/>
          <w:lang w:eastAsia="ru-RU"/>
        </w:rPr>
        <w:br w:type="textWrapping"/>
      </w:r>
    </w:p>
    <w:p w14:paraId="40280BE4">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если нетекстовый контент используется исключительно с целью оформления, визуального форматирования или невидим пользователю, то он должен быть представлен таким образом, чтобы вспомогательные технологии могли его игнорировать;</w:t>
      </w:r>
      <w:r>
        <w:rPr>
          <w:rFonts w:ascii="Times New Roman" w:hAnsi="Times New Roman" w:eastAsia="Times New Roman" w:cs="Times New Roman"/>
          <w:sz w:val="28"/>
          <w:szCs w:val="28"/>
          <w:lang w:eastAsia="ru-RU"/>
        </w:rPr>
        <w:br w:type="textWrapping"/>
      </w:r>
    </w:p>
    <w:p w14:paraId="5FD3E242">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д) нетекстовый контент, применяемый с целью подтверждения использования контента человеком, а не электронной вычислительной машиной, в случае его применения на официальных сайтах должен быть представлен на государственном языке Российской Федерации в доступной для пользователя форме;</w:t>
      </w:r>
      <w:r>
        <w:rPr>
          <w:rFonts w:ascii="Times New Roman" w:hAnsi="Times New Roman" w:eastAsia="Times New Roman" w:cs="Times New Roman"/>
          <w:sz w:val="28"/>
          <w:szCs w:val="28"/>
          <w:lang w:eastAsia="ru-RU"/>
        </w:rPr>
        <w:br w:type="textWrapping"/>
      </w:r>
    </w:p>
    <w:p w14:paraId="53B96FD7">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е) заголовки страниц официальных сайтов описывают их тему или цель;</w:t>
      </w:r>
      <w:r>
        <w:rPr>
          <w:rFonts w:ascii="Times New Roman" w:hAnsi="Times New Roman" w:eastAsia="Times New Roman" w:cs="Times New Roman"/>
          <w:sz w:val="28"/>
          <w:szCs w:val="28"/>
          <w:lang w:eastAsia="ru-RU"/>
        </w:rPr>
        <w:br w:type="textWrapping"/>
      </w:r>
    </w:p>
    <w:p w14:paraId="66447404">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ж) цель каждой ссылки, размещаемой на официальных сайтах, определяется из текста ссылки или из текста ссылки вместе с ее контекстом, который может быть распознан программным обеспечением;</w:t>
      </w:r>
      <w:r>
        <w:rPr>
          <w:rFonts w:ascii="Times New Roman" w:hAnsi="Times New Roman" w:eastAsia="Times New Roman" w:cs="Times New Roman"/>
          <w:sz w:val="28"/>
          <w:szCs w:val="28"/>
          <w:lang w:eastAsia="ru-RU"/>
        </w:rPr>
        <w:br w:type="textWrapping"/>
      </w:r>
    </w:p>
    <w:p w14:paraId="338DA733">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 визуальное отображение текстовой информации и текст на изображениях, размещаемых на официальных сайтах, имеют коэффициент контрастности не менее 4,5:1, кроме следующих случаев:</w:t>
      </w:r>
      <w:r>
        <w:rPr>
          <w:rFonts w:ascii="Times New Roman" w:hAnsi="Times New Roman" w:eastAsia="Times New Roman" w:cs="Times New Roman"/>
          <w:sz w:val="28"/>
          <w:szCs w:val="28"/>
          <w:lang w:eastAsia="ru-RU"/>
        </w:rPr>
        <w:br w:type="textWrapping"/>
      </w:r>
    </w:p>
    <w:p w14:paraId="043B4460">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укрупненная текстовая информация и графическое представление увеличенного текста имеют коэффициент контрастности не менее 3:1;</w:t>
      </w:r>
      <w:r>
        <w:rPr>
          <w:rFonts w:ascii="Times New Roman" w:hAnsi="Times New Roman" w:eastAsia="Times New Roman" w:cs="Times New Roman"/>
          <w:sz w:val="28"/>
          <w:szCs w:val="28"/>
          <w:lang w:eastAsia="ru-RU"/>
        </w:rPr>
        <w:br w:type="textWrapping"/>
      </w:r>
    </w:p>
    <w:p w14:paraId="68C3EB9F">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текст или графическое представление текста являются частью неактивных компонентов пользовательского интерфейса или выполняют чисто декоративные функции, никому не видны или являются частью изображения, передающего более важную визуальную информацию;</w:t>
      </w:r>
      <w:r>
        <w:rPr>
          <w:rFonts w:ascii="Times New Roman" w:hAnsi="Times New Roman" w:eastAsia="Times New Roman" w:cs="Times New Roman"/>
          <w:sz w:val="28"/>
          <w:szCs w:val="28"/>
          <w:lang w:eastAsia="ru-RU"/>
        </w:rPr>
        <w:br w:type="textWrapping"/>
      </w:r>
    </w:p>
    <w:p w14:paraId="54F89F66">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текст является частью логотипа или названия торговой марки;</w:t>
      </w:r>
      <w:r>
        <w:rPr>
          <w:rFonts w:ascii="Times New Roman" w:hAnsi="Times New Roman" w:eastAsia="Times New Roman" w:cs="Times New Roman"/>
          <w:sz w:val="28"/>
          <w:szCs w:val="28"/>
          <w:lang w:eastAsia="ru-RU"/>
        </w:rPr>
        <w:br w:type="textWrapping"/>
      </w:r>
    </w:p>
    <w:p w14:paraId="2FD66398">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и) интерфейс официальных сайтов для передачи данных о выполнении действия и (или) о запросе на обратную связь и (или) для различения визуальных элементов использует не только визуальные характеристики элемента (цвет, форму, размер, визуальное местоположение, ориентацию), но и текст, доступный для чтения с помощью вспомогательных технологий, включая программы экранного доступа, или звук;</w:t>
      </w:r>
      <w:r>
        <w:rPr>
          <w:rFonts w:ascii="Times New Roman" w:hAnsi="Times New Roman" w:eastAsia="Times New Roman" w:cs="Times New Roman"/>
          <w:sz w:val="28"/>
          <w:szCs w:val="28"/>
          <w:lang w:eastAsia="ru-RU"/>
        </w:rPr>
        <w:br w:type="textWrapping"/>
      </w:r>
    </w:p>
    <w:p w14:paraId="53A0398F">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к) если на официальных сайтах размещается движущаяся, мигающая или автоматически обновляющаяся информация, пользователю должны быть доступны средства управления - возможность приостановить, остановить, скрыть или изменить частоту ее обновления. Исключение составляют случаи, когда движение или обновление информации является необходимой частью работы сервиса. Контент не должен содержать мигающих элементов, которые могут вызвать дискомфорт (например, более 3 вспышек в секунду). Анимация загрузки допускается, если она необходима для того, чтобы пользователь понимал, что процесс продолжается;</w:t>
      </w:r>
      <w:r>
        <w:rPr>
          <w:rFonts w:ascii="Times New Roman" w:hAnsi="Times New Roman" w:eastAsia="Times New Roman" w:cs="Times New Roman"/>
          <w:sz w:val="28"/>
          <w:szCs w:val="28"/>
          <w:lang w:eastAsia="ru-RU"/>
        </w:rPr>
        <w:br w:type="textWrapping"/>
      </w:r>
    </w:p>
    <w:p w14:paraId="2ADC8F99">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л) элементы интерфейса официальных сайтов при перемещении указателя на них не изменяют контекст;</w:t>
      </w:r>
      <w:r>
        <w:rPr>
          <w:rFonts w:ascii="Times New Roman" w:hAnsi="Times New Roman" w:eastAsia="Times New Roman" w:cs="Times New Roman"/>
          <w:sz w:val="28"/>
          <w:szCs w:val="28"/>
          <w:lang w:eastAsia="ru-RU"/>
        </w:rPr>
        <w:br w:type="textWrapping"/>
      </w:r>
    </w:p>
    <w:p w14:paraId="010B33F0">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м) формы на официальных сайтах должны иметь текстовые описания всех полей. При ошибочном заполнении пользователь получает текстовое сообщение с пояснением ошибки. Сообщения об ошибках должны быть доступны программам экранного доступа.</w:t>
      </w:r>
      <w:r>
        <w:rPr>
          <w:rFonts w:ascii="Times New Roman" w:hAnsi="Times New Roman" w:eastAsia="Times New Roman" w:cs="Times New Roman"/>
          <w:sz w:val="28"/>
          <w:szCs w:val="28"/>
          <w:lang w:eastAsia="ru-RU"/>
        </w:rPr>
        <w:br w:type="textWrapping"/>
      </w:r>
    </w:p>
    <w:p w14:paraId="52FB64BE">
      <w:pPr>
        <w:shd w:val="clear" w:color="auto" w:fill="FFFFFF"/>
        <w:spacing w:after="0" w:line="240" w:lineRule="auto"/>
        <w:ind w:firstLine="480"/>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Пользователю предоставляются метки или инструкции в случае, если требуется ввод информации;</w:t>
      </w:r>
      <w:r>
        <w:rPr>
          <w:rFonts w:ascii="Times New Roman" w:hAnsi="Times New Roman" w:eastAsia="Times New Roman" w:cs="Times New Roman"/>
          <w:sz w:val="28"/>
          <w:szCs w:val="28"/>
          <w:lang w:eastAsia="ru-RU"/>
        </w:rPr>
        <w:br w:type="textWrapping"/>
      </w:r>
    </w:p>
    <w:p w14:paraId="544CFF6E">
      <w:pPr>
        <w:shd w:val="clear" w:color="auto" w:fill="FFFFFF"/>
        <w:spacing w:after="0" w:line="240" w:lineRule="auto"/>
        <w:ind w:firstLine="480"/>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н) текстовая информация должна представляться с использованием читаемого шрифта без декоративных элементов, обеспечивающего достаточную контрастность и различимость символов.</w:t>
      </w:r>
    </w:p>
    <w:p w14:paraId="52CC936B">
      <w:pPr>
        <w:shd w:val="clear" w:color="auto" w:fill="FFFFFF"/>
        <w:spacing w:after="0" w:line="240" w:lineRule="auto"/>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p>
    <w:p w14:paraId="2311F6F9"/>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FE4E59"/>
    <w:multiLevelType w:val="multilevel"/>
    <w:tmpl w:val="3EFE4E5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70"/>
    <w:rsid w:val="00047F40"/>
    <w:rsid w:val="00150D70"/>
    <w:rsid w:val="002F361A"/>
    <w:rsid w:val="006F39F4"/>
    <w:rsid w:val="007A7923"/>
    <w:rsid w:val="5E2B3548"/>
    <w:rsid w:val="6FC77D3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Standard"/>
    <w:qFormat/>
    <w:uiPriority w:val="99"/>
    <w:pPr>
      <w:suppressAutoHyphens/>
      <w:autoSpaceDN w:val="0"/>
      <w:textAlignment w:val="baseline"/>
    </w:pPr>
    <w:rPr>
      <w:rFonts w:ascii="Times New Roman" w:hAnsi="Times New Roman" w:eastAsia="SimSun" w:cs="Times New Roman"/>
      <w:kern w:val="3"/>
      <w:sz w:val="24"/>
      <w:szCs w:val="24"/>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9DFE2-8E12-4DBF-98DF-A2BBA60EA68B}">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1169</Words>
  <Characters>8829</Characters>
  <Lines>73</Lines>
  <Paragraphs>20</Paragraphs>
  <TotalTime>23</TotalTime>
  <ScaleCrop>false</ScaleCrop>
  <LinksUpToDate>false</LinksUpToDate>
  <CharactersWithSpaces>10000</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2026-03-31T04:03:00Z</dcterms:created>
  <dc:creator>Пользователь</dc:creator>
  <cp:lastModifiedBy>user</cp:lastModifiedBy>
  <cp:lastPrinted>2026-05-14T02:25:59Z</cp:lastPrinted>
  <dcterms:modified xsi:type="dcterms:W3CDTF">2026-05-14T02:26:31Z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880F4CD35DFC407B89C4507CAF6297BC_12</vt:lpwstr>
  </property>
  <property fmtid="{D5CDD505-2E9C-101B-9397-08002B2CF9AE}" pid="4" name="KSOTemplateDocerSaveRecord">
    <vt:lpwstr>eyJoZGlkIjoiZGY2ZDFjNzE0NWIzMzEwMDEzNDM1YTBjNGQyYzNiNzQifQ==</vt:lpwstr>
  </property>
</Properties>
</file>