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7D180">
      <w:pPr>
        <w:jc w:val="center"/>
        <w:rPr>
          <w:b/>
          <w:sz w:val="28"/>
          <w:szCs w:val="28"/>
        </w:rPr>
      </w:pPr>
      <w:r>
        <w:rPr>
          <w:rFonts w:eastAsia="Times New Roman"/>
          <w:sz w:val="28"/>
          <w:szCs w:val="28"/>
          <w:lang w:eastAsia="en-US"/>
        </w:rPr>
        <w:object>
          <v:shape id="_x0000_i1025" o:spt="75" type="#_x0000_t75" style="height:72pt;width:87pt;" o:ole="t" fillcolor="#FFFFFF" filled="f" o:preferrelative="t" stroked="f" coordsize="21600,21600">
            <v:path/>
            <v:fill on="f" focussize="0,0"/>
            <v:stroke on="f" joinstyle="miter"/>
            <v:imagedata r:id="rId7" o:title=""/>
            <o:lock v:ext="edit" aspectratio="t"/>
            <w10:wrap type="none"/>
            <w10:anchorlock/>
          </v:shape>
          <o:OLEObject Type="Embed" ProgID="PBrush" ShapeID="_x0000_i1025" DrawAspect="Content" ObjectID="_1468075725" r:id="rId6">
            <o:LockedField>false</o:LockedField>
          </o:OLEObject>
        </w:object>
      </w:r>
    </w:p>
    <w:p w14:paraId="238CF986">
      <w:pPr>
        <w:jc w:val="center"/>
        <w:rPr>
          <w:b/>
          <w:sz w:val="28"/>
          <w:szCs w:val="28"/>
        </w:rPr>
      </w:pPr>
    </w:p>
    <w:p w14:paraId="40D01703">
      <w:pPr>
        <w:jc w:val="center"/>
        <w:rPr>
          <w:b/>
          <w:sz w:val="28"/>
          <w:szCs w:val="28"/>
        </w:rPr>
      </w:pPr>
      <w:r>
        <w:rPr>
          <w:b/>
          <w:sz w:val="28"/>
          <w:szCs w:val="28"/>
        </w:rPr>
        <w:t>СХОД ГРАЖДАН СЕЛЬСКОГО ПОСЕЛЕНИЯ СУМОНА ЧАЗЫЛАР ТОДЖИНСКОГО КОЖУУНА РЕСПУБЛИКИ ТЫВА</w:t>
      </w:r>
    </w:p>
    <w:p w14:paraId="1E10A25B">
      <w:pPr>
        <w:jc w:val="center"/>
        <w:rPr>
          <w:b/>
          <w:sz w:val="28"/>
          <w:szCs w:val="28"/>
        </w:rPr>
      </w:pPr>
      <w:r>
        <w:rPr>
          <w:b/>
          <w:sz w:val="28"/>
          <w:szCs w:val="28"/>
        </w:rPr>
        <w:t>РЕШЕНИЕ</w:t>
      </w:r>
    </w:p>
    <w:p w14:paraId="63560557">
      <w:pPr>
        <w:jc w:val="both"/>
        <w:rPr>
          <w:b/>
          <w:sz w:val="28"/>
          <w:szCs w:val="28"/>
        </w:rPr>
      </w:pPr>
    </w:p>
    <w:p w14:paraId="77262ED4">
      <w:pPr>
        <w:rPr>
          <w:b/>
          <w:sz w:val="28"/>
          <w:szCs w:val="28"/>
        </w:rPr>
      </w:pPr>
      <w:r>
        <w:rPr>
          <w:b/>
          <w:sz w:val="28"/>
          <w:szCs w:val="28"/>
        </w:rPr>
        <w:t xml:space="preserve">           </w:t>
      </w:r>
    </w:p>
    <w:p w14:paraId="2D5EA49E">
      <w:pPr>
        <w:rPr>
          <w:rFonts w:ascii="Calibri" w:hAnsi="Calibri" w:cs="F"/>
          <w:sz w:val="22"/>
          <w:szCs w:val="22"/>
          <w:lang w:eastAsia="en-US" w:bidi="ar-SA"/>
        </w:rPr>
      </w:pPr>
      <w:r>
        <w:rPr>
          <w:b/>
          <w:sz w:val="28"/>
          <w:szCs w:val="28"/>
        </w:rPr>
        <w:t xml:space="preserve">с. Чазылар                                                               </w:t>
      </w:r>
      <w:bookmarkStart w:id="5" w:name="_GoBack"/>
      <w:bookmarkEnd w:id="5"/>
      <w:r>
        <w:rPr>
          <w:b/>
          <w:sz w:val="28"/>
          <w:szCs w:val="28"/>
        </w:rPr>
        <w:t xml:space="preserve"> № </w:t>
      </w:r>
      <w:r>
        <w:rPr>
          <w:rFonts w:hint="default"/>
          <w:b/>
          <w:sz w:val="28"/>
          <w:szCs w:val="28"/>
          <w:lang w:val="ru-RU"/>
        </w:rPr>
        <w:t xml:space="preserve">11 от </w:t>
      </w:r>
      <w:r>
        <w:rPr>
          <w:b/>
          <w:sz w:val="28"/>
          <w:szCs w:val="28"/>
        </w:rPr>
        <w:t xml:space="preserve"> «24» декабря 2025г.</w:t>
      </w:r>
    </w:p>
    <w:p w14:paraId="0E78CD6C">
      <w:pPr>
        <w:widowControl/>
        <w:jc w:val="center"/>
        <w:rPr>
          <w:rFonts w:cs="Times New Roman"/>
          <w:sz w:val="28"/>
          <w:szCs w:val="28"/>
          <w:lang w:eastAsia="ru-RU" w:bidi="ar-SA"/>
        </w:rPr>
      </w:pPr>
    </w:p>
    <w:p w14:paraId="24045D35">
      <w:pPr>
        <w:widowControl/>
        <w:jc w:val="center"/>
        <w:rPr>
          <w:rFonts w:ascii="Calibri" w:hAnsi="Calibri" w:cs="F"/>
          <w:sz w:val="22"/>
          <w:szCs w:val="22"/>
          <w:lang w:eastAsia="ru-RU" w:bidi="ar-SA"/>
        </w:rPr>
      </w:pPr>
      <w:r>
        <w:rPr>
          <w:rFonts w:cs="Times New Roman"/>
          <w:sz w:val="28"/>
          <w:szCs w:val="28"/>
          <w:lang w:eastAsia="ru-RU" w:bidi="ar-SA"/>
        </w:rPr>
        <w:t xml:space="preserve"> О бюджете сельского поселения сумона Чазыларский</w:t>
      </w:r>
    </w:p>
    <w:p w14:paraId="32A11E8E">
      <w:pPr>
        <w:widowControl/>
        <w:jc w:val="center"/>
        <w:rPr>
          <w:rFonts w:cs="Times New Roman"/>
          <w:sz w:val="28"/>
          <w:szCs w:val="28"/>
          <w:lang w:eastAsia="ru-RU" w:bidi="ar-SA"/>
        </w:rPr>
      </w:pPr>
      <w:r>
        <w:rPr>
          <w:rFonts w:cs="Times New Roman"/>
          <w:sz w:val="28"/>
          <w:szCs w:val="28"/>
          <w:lang w:eastAsia="ru-RU" w:bidi="ar-SA"/>
        </w:rPr>
        <w:t>Тоджинского кожууна Республики Тыва на 2026 год</w:t>
      </w:r>
    </w:p>
    <w:p w14:paraId="7A7D61BB">
      <w:pPr>
        <w:widowControl/>
        <w:jc w:val="center"/>
        <w:rPr>
          <w:rFonts w:ascii="Calibri" w:hAnsi="Calibri" w:cs="F"/>
          <w:sz w:val="22"/>
          <w:szCs w:val="22"/>
          <w:lang w:eastAsia="ru-RU" w:bidi="ar-SA"/>
        </w:rPr>
      </w:pPr>
      <w:r>
        <w:rPr>
          <w:rFonts w:cs="Times New Roman"/>
          <w:sz w:val="28"/>
          <w:szCs w:val="28"/>
          <w:lang w:eastAsia="ru-RU" w:bidi="ar-SA"/>
        </w:rPr>
        <w:t>и плановые периоды 2027-2028 годы</w:t>
      </w:r>
    </w:p>
    <w:p w14:paraId="1B7FE28E">
      <w:pPr>
        <w:ind w:firstLine="709"/>
        <w:jc w:val="both"/>
        <w:rPr>
          <w:rFonts w:eastAsia="Times New Roman" w:cs="Times New Roman"/>
          <w:sz w:val="28"/>
          <w:szCs w:val="28"/>
          <w:lang w:eastAsia="ru-RU" w:bidi="ar-SA"/>
        </w:rPr>
      </w:pPr>
      <w:bookmarkStart w:id="0" w:name="P11"/>
      <w:bookmarkEnd w:id="0"/>
    </w:p>
    <w:p w14:paraId="1509166E">
      <w:pPr>
        <w:ind w:firstLine="709"/>
        <w:jc w:val="both"/>
        <w:rPr>
          <w:rFonts w:ascii="Calibri" w:hAnsi="Calibri" w:cs="Calibri"/>
          <w:b/>
          <w:sz w:val="22"/>
          <w:szCs w:val="20"/>
          <w:lang w:eastAsia="ru-RU" w:bidi="ar-SA"/>
        </w:rPr>
      </w:pPr>
      <w:bookmarkStart w:id="1" w:name="P36"/>
      <w:bookmarkEnd w:id="1"/>
      <w:r>
        <w:rPr>
          <w:rFonts w:eastAsia="Times New Roman" w:cs="Times New Roman"/>
          <w:b/>
          <w:sz w:val="28"/>
          <w:szCs w:val="28"/>
          <w:lang w:eastAsia="ru-RU" w:bidi="ar-SA"/>
        </w:rPr>
        <w:t>Статья 1. Основные характеристики бюджета сельского поселения сумона Чазыларский Тоджинского кожууна Республики Тыва на 2026 год и плановые периоды 2027-2028 годы</w:t>
      </w:r>
    </w:p>
    <w:p w14:paraId="011B8B9C">
      <w:pPr>
        <w:ind w:firstLine="709"/>
        <w:jc w:val="both"/>
        <w:rPr>
          <w:rFonts w:eastAsia="Times New Roman" w:cs="Times New Roman"/>
          <w:sz w:val="28"/>
          <w:szCs w:val="28"/>
          <w:lang w:eastAsia="ru-RU" w:bidi="ar-SA"/>
        </w:rPr>
      </w:pPr>
    </w:p>
    <w:p w14:paraId="51CC0373">
      <w:pPr>
        <w:ind w:firstLine="709"/>
        <w:jc w:val="both"/>
        <w:rPr>
          <w:rFonts w:ascii="Calibri" w:hAnsi="Calibri" w:cs="Calibri"/>
          <w:sz w:val="22"/>
          <w:szCs w:val="20"/>
          <w:lang w:eastAsia="ru-RU" w:bidi="ar-SA"/>
        </w:rPr>
      </w:pPr>
      <w:r>
        <w:rPr>
          <w:rFonts w:eastAsia="Times New Roman" w:cs="Times New Roman"/>
          <w:sz w:val="28"/>
          <w:szCs w:val="28"/>
          <w:lang w:eastAsia="ru-RU" w:bidi="ar-SA"/>
        </w:rPr>
        <w:t>1. Утвердить основные характеристики бюджета сельского поселения сумона Чазыларский Тоджинского кожууна Республики Тыва (далее – бюджет поселения) на 2026 год:</w:t>
      </w:r>
    </w:p>
    <w:p w14:paraId="2F8157DD">
      <w:pPr>
        <w:ind w:firstLine="709"/>
        <w:jc w:val="both"/>
        <w:rPr>
          <w:rFonts w:ascii="Calibri" w:hAnsi="Calibri" w:cs="Calibri"/>
          <w:sz w:val="22"/>
          <w:szCs w:val="20"/>
          <w:lang w:eastAsia="ru-RU" w:bidi="ar-SA"/>
        </w:rPr>
      </w:pPr>
      <w:r>
        <w:rPr>
          <w:rFonts w:eastAsia="Times New Roman" w:cs="Times New Roman"/>
          <w:sz w:val="28"/>
          <w:szCs w:val="28"/>
          <w:lang w:eastAsia="ru-RU" w:bidi="ar-SA"/>
        </w:rPr>
        <w:t>1) общий объем доходов бюджета поселения в сумме 4562,70 тыс. рублей;</w:t>
      </w:r>
    </w:p>
    <w:p w14:paraId="613A821D">
      <w:pPr>
        <w:ind w:firstLine="709"/>
        <w:jc w:val="both"/>
        <w:rPr>
          <w:rFonts w:ascii="Calibri" w:hAnsi="Calibri" w:cs="Calibri"/>
          <w:sz w:val="22"/>
          <w:szCs w:val="20"/>
          <w:lang w:eastAsia="ru-RU" w:bidi="ar-SA"/>
        </w:rPr>
      </w:pPr>
      <w:r>
        <w:rPr>
          <w:rFonts w:eastAsia="Times New Roman" w:cs="Times New Roman"/>
          <w:sz w:val="28"/>
          <w:szCs w:val="28"/>
          <w:lang w:eastAsia="ru-RU" w:bidi="ar-SA"/>
        </w:rPr>
        <w:t>2) общий объем расходов бюджета поселения в сумме 4562,70 тыс. рублей;</w:t>
      </w:r>
    </w:p>
    <w:p w14:paraId="1BD91577">
      <w:pPr>
        <w:ind w:firstLine="709"/>
        <w:jc w:val="both"/>
        <w:rPr>
          <w:rFonts w:ascii="Calibri" w:hAnsi="Calibri" w:cs="Calibri"/>
          <w:sz w:val="22"/>
          <w:szCs w:val="20"/>
          <w:lang w:eastAsia="ru-RU" w:bidi="ar-SA"/>
        </w:rPr>
      </w:pPr>
      <w:r>
        <w:rPr>
          <w:rFonts w:eastAsia="Times New Roman" w:cs="Times New Roman"/>
          <w:sz w:val="28"/>
          <w:szCs w:val="28"/>
          <w:lang w:eastAsia="ru-RU" w:bidi="ar-SA"/>
        </w:rPr>
        <w:t>3) дефицит бюджета поселения в сумме 0,0 тыс. рублей;</w:t>
      </w:r>
    </w:p>
    <w:p w14:paraId="2B7AD4A1">
      <w:pPr>
        <w:ind w:firstLine="709"/>
        <w:jc w:val="both"/>
        <w:rPr>
          <w:rFonts w:ascii="Calibri" w:hAnsi="Calibri" w:cs="Calibri"/>
          <w:sz w:val="22"/>
          <w:szCs w:val="20"/>
          <w:lang w:eastAsia="ru-RU" w:bidi="ar-SA"/>
        </w:rPr>
      </w:pPr>
      <w:r>
        <w:rPr>
          <w:rFonts w:eastAsia="Times New Roman" w:cs="Times New Roman"/>
          <w:sz w:val="28"/>
          <w:szCs w:val="28"/>
          <w:lang w:eastAsia="ru-RU" w:bidi="ar-SA"/>
        </w:rPr>
        <w:t>4) источники внутреннего финансирования дефицита бюджета поселения на 2026 год согласно приложению 1 к настоящему Решению.</w:t>
      </w:r>
    </w:p>
    <w:p w14:paraId="69D35142">
      <w:pPr>
        <w:ind w:firstLine="709"/>
        <w:jc w:val="both"/>
        <w:rPr>
          <w:rFonts w:ascii="Calibri" w:hAnsi="Calibri" w:cs="Calibri"/>
          <w:sz w:val="22"/>
          <w:szCs w:val="20"/>
          <w:lang w:eastAsia="ru-RU" w:bidi="ar-SA"/>
        </w:rPr>
      </w:pPr>
      <w:r>
        <w:rPr>
          <w:rFonts w:eastAsia="Times New Roman" w:cs="Times New Roman"/>
          <w:sz w:val="28"/>
          <w:szCs w:val="28"/>
          <w:lang w:eastAsia="ru-RU" w:bidi="ar-SA"/>
        </w:rPr>
        <w:t>2. Утвердить основные характеристики бюджета поселения на 2027 год и на 2028 год:</w:t>
      </w:r>
    </w:p>
    <w:p w14:paraId="1A6CBA19">
      <w:pPr>
        <w:ind w:firstLine="709"/>
        <w:jc w:val="both"/>
        <w:rPr>
          <w:rFonts w:ascii="Calibri" w:hAnsi="Calibri" w:cs="Calibri"/>
          <w:sz w:val="22"/>
          <w:szCs w:val="20"/>
          <w:lang w:eastAsia="ru-RU" w:bidi="ar-SA"/>
        </w:rPr>
      </w:pPr>
      <w:r>
        <w:rPr>
          <w:rFonts w:eastAsia="Times New Roman" w:cs="Times New Roman"/>
          <w:sz w:val="28"/>
          <w:szCs w:val="28"/>
          <w:lang w:eastAsia="ru-RU" w:bidi="ar-SA"/>
        </w:rPr>
        <w:t>1) общий объем доходов бюджета поселения на 2027 год в сумме 4630,70 тыс. рублей, на 2028 год в сумме 4793,10 тыс. рублей;</w:t>
      </w:r>
    </w:p>
    <w:p w14:paraId="1B27FD53">
      <w:pPr>
        <w:ind w:firstLine="709"/>
        <w:jc w:val="both"/>
        <w:rPr>
          <w:rFonts w:ascii="Calibri" w:hAnsi="Calibri" w:cs="Calibri"/>
          <w:sz w:val="22"/>
          <w:szCs w:val="20"/>
          <w:lang w:eastAsia="ru-RU" w:bidi="ar-SA"/>
        </w:rPr>
      </w:pPr>
      <w:r>
        <w:rPr>
          <w:rFonts w:eastAsia="Times New Roman" w:cs="Times New Roman"/>
          <w:sz w:val="28"/>
          <w:szCs w:val="28"/>
          <w:lang w:eastAsia="ru-RU" w:bidi="ar-SA"/>
        </w:rPr>
        <w:t>2) общий объем расходов бюджета поселения на 2027 год в сумме 4630,70 тыс. рублей, в том числе условно утвержденные расходы в сумме 115,77 тыс. рублей;</w:t>
      </w:r>
    </w:p>
    <w:p w14:paraId="555A225A">
      <w:pPr>
        <w:ind w:firstLine="709"/>
        <w:jc w:val="both"/>
        <w:rPr>
          <w:rFonts w:ascii="Calibri" w:hAnsi="Calibri" w:cs="Calibri"/>
          <w:sz w:val="22"/>
          <w:szCs w:val="20"/>
          <w:lang w:eastAsia="ru-RU" w:bidi="ar-SA"/>
        </w:rPr>
      </w:pPr>
      <w:r>
        <w:rPr>
          <w:rFonts w:eastAsia="Times New Roman" w:cs="Times New Roman"/>
          <w:sz w:val="28"/>
          <w:szCs w:val="28"/>
          <w:lang w:eastAsia="ru-RU" w:bidi="ar-SA"/>
        </w:rPr>
        <w:t>3) общий объем расходов бюджета поселения на 2028 год в сумме 4793,10 тыс. рублей, в том числе условно утвержденные расходы в сумме 239,66 тыс. рублей;</w:t>
      </w:r>
    </w:p>
    <w:p w14:paraId="771BE65F">
      <w:pPr>
        <w:ind w:firstLine="709"/>
        <w:jc w:val="both"/>
        <w:rPr>
          <w:rFonts w:ascii="Calibri" w:hAnsi="Calibri" w:cs="Calibri"/>
          <w:sz w:val="22"/>
          <w:szCs w:val="20"/>
          <w:lang w:eastAsia="ru-RU" w:bidi="ar-SA"/>
        </w:rPr>
      </w:pPr>
      <w:r>
        <w:rPr>
          <w:rFonts w:eastAsia="Times New Roman" w:cs="Times New Roman"/>
          <w:sz w:val="28"/>
          <w:szCs w:val="28"/>
          <w:lang w:eastAsia="ru-RU" w:bidi="ar-SA"/>
        </w:rPr>
        <w:t>4) дефицит бюджета поселения на 2027 год в сумме 0 тыс. рублей, на 2028 год в сумме 0 тыс. рублей;</w:t>
      </w:r>
    </w:p>
    <w:p w14:paraId="211846AD">
      <w:pPr>
        <w:ind w:firstLine="709"/>
        <w:jc w:val="both"/>
        <w:rPr>
          <w:rFonts w:ascii="Calibri" w:hAnsi="Calibri" w:cs="Calibri"/>
          <w:sz w:val="22"/>
          <w:szCs w:val="20"/>
          <w:lang w:eastAsia="ru-RU" w:bidi="ar-SA"/>
        </w:rPr>
      </w:pPr>
      <w:r>
        <w:rPr>
          <w:rFonts w:eastAsia="Times New Roman" w:cs="Times New Roman"/>
          <w:sz w:val="28"/>
          <w:szCs w:val="28"/>
          <w:lang w:eastAsia="ru-RU" w:bidi="ar-SA"/>
        </w:rPr>
        <w:t>5) источники внутреннего финансирования дефицита бюджета поселения на плановый период 2027 и 2028 годов согласно приложению 1а к настоящему Решению.</w:t>
      </w:r>
    </w:p>
    <w:p w14:paraId="2BDC314F">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2. Доходы бюджета поселения на 2026 год и плановые периоды 2027-2028 годы</w:t>
      </w:r>
    </w:p>
    <w:p w14:paraId="453A6B3B">
      <w:pPr>
        <w:ind w:firstLine="709"/>
        <w:jc w:val="both"/>
        <w:rPr>
          <w:rFonts w:eastAsia="Times New Roman" w:cs="Times New Roman"/>
          <w:sz w:val="28"/>
          <w:szCs w:val="28"/>
          <w:lang w:eastAsia="ru-RU" w:bidi="ar-SA"/>
        </w:rPr>
      </w:pPr>
    </w:p>
    <w:p w14:paraId="5B09E425">
      <w:pPr>
        <w:ind w:firstLine="709"/>
        <w:jc w:val="both"/>
        <w:rPr>
          <w:rFonts w:ascii="Calibri" w:hAnsi="Calibri" w:cs="Calibri"/>
          <w:sz w:val="22"/>
          <w:szCs w:val="20"/>
          <w:lang w:eastAsia="ru-RU" w:bidi="ar-SA"/>
        </w:rPr>
      </w:pPr>
      <w:r>
        <w:rPr>
          <w:rFonts w:eastAsia="Times New Roman" w:cs="Times New Roman"/>
          <w:sz w:val="28"/>
          <w:szCs w:val="28"/>
          <w:lang w:eastAsia="ru-RU" w:bidi="ar-SA"/>
        </w:rPr>
        <w:t>1. Утвердить нормативы распределения доходов в бюджет поселения согласно приложению 2 к настоящему Решению.</w:t>
      </w:r>
    </w:p>
    <w:p w14:paraId="77EAF961">
      <w:pPr>
        <w:ind w:firstLine="709"/>
        <w:jc w:val="both"/>
        <w:rPr>
          <w:rFonts w:ascii="Calibri" w:hAnsi="Calibri" w:cs="Calibri"/>
          <w:sz w:val="22"/>
          <w:szCs w:val="20"/>
          <w:lang w:eastAsia="ru-RU" w:bidi="ar-SA"/>
        </w:rPr>
      </w:pPr>
      <w:r>
        <w:rPr>
          <w:rFonts w:eastAsia="Times New Roman" w:cs="Times New Roman"/>
          <w:sz w:val="28"/>
          <w:szCs w:val="28"/>
          <w:lang w:eastAsia="ru-RU" w:bidi="ar-SA"/>
        </w:rPr>
        <w:t>2. Установить, что в составе бюджета поселения учитываются поступления доходов, в том числе безвозмездные поступления, получаемые из муниципального бюджета, на 2026 год и плановые периоды на 2027 и 2028 годы согласно приложениям 3, 3а к настоящему Решению.</w:t>
      </w:r>
    </w:p>
    <w:p w14:paraId="3586D32B">
      <w:pPr>
        <w:ind w:firstLine="709"/>
        <w:jc w:val="both"/>
        <w:rPr>
          <w:rFonts w:ascii="Calibri" w:hAnsi="Calibri" w:cs="Calibri"/>
          <w:sz w:val="22"/>
          <w:szCs w:val="20"/>
          <w:lang w:eastAsia="ru-RU" w:bidi="ar-SA"/>
        </w:rPr>
      </w:pPr>
      <w:r>
        <w:rPr>
          <w:rFonts w:eastAsia="Times New Roman" w:cs="Times New Roman"/>
          <w:sz w:val="28"/>
          <w:szCs w:val="28"/>
          <w:lang w:eastAsia="ru-RU" w:bidi="ar-SA"/>
        </w:rPr>
        <w:t>3. Средства в валюте Российской Федерации, полученные муниципальными казенными учреждениями от приносящей доход деятельности, подлежат перечислению в доход бюджета поселения.</w:t>
      </w:r>
    </w:p>
    <w:p w14:paraId="59B69306">
      <w:pPr>
        <w:ind w:firstLine="709"/>
        <w:jc w:val="both"/>
        <w:rPr>
          <w:rFonts w:eastAsia="Times New Roman" w:cs="Times New Roman"/>
          <w:sz w:val="28"/>
          <w:szCs w:val="28"/>
          <w:lang w:eastAsia="ru-RU" w:bidi="ar-SA"/>
        </w:rPr>
      </w:pPr>
    </w:p>
    <w:p w14:paraId="2DF60702">
      <w:pPr>
        <w:ind w:firstLine="709"/>
        <w:jc w:val="both"/>
        <w:rPr>
          <w:rFonts w:eastAsia="Times New Roman" w:cs="Times New Roman"/>
          <w:b/>
          <w:sz w:val="28"/>
          <w:szCs w:val="28"/>
          <w:lang w:eastAsia="ru-RU" w:bidi="ar-SA"/>
        </w:rPr>
      </w:pPr>
      <w:r>
        <w:rPr>
          <w:rFonts w:eastAsia="Times New Roman" w:cs="Times New Roman"/>
          <w:b/>
          <w:sz w:val="28"/>
          <w:szCs w:val="28"/>
          <w:lang w:eastAsia="ru-RU" w:bidi="ar-SA"/>
        </w:rPr>
        <w:t>Статья 3. Главные администраторы доходов бюджета поселения и главные администраторы источников финансирования дефицита бюджета поселения</w:t>
      </w:r>
    </w:p>
    <w:p w14:paraId="39767E15">
      <w:pPr>
        <w:ind w:firstLine="709"/>
        <w:jc w:val="both"/>
        <w:rPr>
          <w:rFonts w:eastAsia="Times New Roman" w:cs="Times New Roman"/>
          <w:sz w:val="28"/>
          <w:szCs w:val="28"/>
          <w:lang w:eastAsia="ru-RU" w:bidi="ar-SA"/>
        </w:rPr>
      </w:pPr>
    </w:p>
    <w:p w14:paraId="6AFA7FF1">
      <w:pPr>
        <w:ind w:firstLine="709"/>
        <w:jc w:val="both"/>
        <w:rPr>
          <w:rFonts w:eastAsia="Times New Roman" w:cs="Times New Roman"/>
          <w:sz w:val="28"/>
          <w:szCs w:val="28"/>
          <w:lang w:eastAsia="ru-RU" w:bidi="ar-SA"/>
        </w:rPr>
      </w:pPr>
      <w:r>
        <w:rPr>
          <w:rFonts w:eastAsia="Times New Roman" w:cs="Times New Roman"/>
          <w:sz w:val="28"/>
          <w:szCs w:val="28"/>
          <w:lang w:eastAsia="ru-RU" w:bidi="ar-SA"/>
        </w:rPr>
        <w:t>1. Утвердить перечень главных администраторов источников финансирования дефицита бюджета поселения - органов местного самоуправления согласно приложению 4 к настоящему решению.</w:t>
      </w:r>
    </w:p>
    <w:p w14:paraId="57AEC16D">
      <w:pPr>
        <w:ind w:firstLine="709"/>
        <w:jc w:val="both"/>
        <w:rPr>
          <w:rFonts w:ascii="Calibri" w:hAnsi="Calibri" w:cs="Calibri"/>
          <w:sz w:val="22"/>
          <w:szCs w:val="20"/>
          <w:lang w:eastAsia="ru-RU" w:bidi="ar-SA"/>
        </w:rPr>
      </w:pPr>
      <w:r>
        <w:rPr>
          <w:rFonts w:eastAsia="Times New Roman" w:cs="Times New Roman"/>
          <w:sz w:val="28"/>
          <w:szCs w:val="28"/>
          <w:lang w:eastAsia="ru-RU" w:bidi="ar-SA"/>
        </w:rPr>
        <w:t>2. В случае изменения в 2026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дефицита бюджетов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 а также, в состав закрепленных за ними кодов классификации доходов бюджетов или классификации источников финансирования дефицитов бюджетов вносятся на основании нормативного правового акта Администрации сельского поселения сумона Чазыларский Тоджинского кожууна Республики Тыва без внесения изменений в настоящее Решение.</w:t>
      </w:r>
    </w:p>
    <w:p w14:paraId="53532A31">
      <w:pPr>
        <w:jc w:val="both"/>
        <w:rPr>
          <w:rFonts w:ascii="Calibri" w:hAnsi="Calibri" w:cs="Calibri"/>
          <w:b/>
          <w:sz w:val="22"/>
          <w:szCs w:val="20"/>
          <w:lang w:eastAsia="ru-RU" w:bidi="ar-SA"/>
        </w:rPr>
      </w:pPr>
      <w:r>
        <w:rPr>
          <w:rFonts w:eastAsia="Times New Roman" w:cs="Times New Roman"/>
          <w:b/>
          <w:sz w:val="28"/>
          <w:szCs w:val="28"/>
          <w:lang w:eastAsia="ru-RU" w:bidi="ar-SA"/>
        </w:rPr>
        <w:t>Статья 4. Бюджетные ассигнования бюджета поселения на 2026 год и плановые периоды 2027-2028 годы</w:t>
      </w:r>
    </w:p>
    <w:p w14:paraId="41499E64">
      <w:pPr>
        <w:jc w:val="both"/>
        <w:rPr>
          <w:rFonts w:ascii="Calibri" w:hAnsi="Calibri" w:cs="Calibri"/>
          <w:sz w:val="22"/>
          <w:szCs w:val="20"/>
          <w:lang w:eastAsia="ru-RU" w:bidi="ar-SA"/>
        </w:rPr>
      </w:pPr>
      <w:r>
        <w:rPr>
          <w:rFonts w:eastAsia="Times New Roman" w:cs="Times New Roman"/>
          <w:sz w:val="28"/>
          <w:szCs w:val="28"/>
          <w:lang w:eastAsia="ru-RU" w:bidi="ar-SA"/>
        </w:rPr>
        <w:t xml:space="preserve">        1. Утвердить общий объем бюджетных ассигнований на исполнение публичных нормативных обязательств:</w:t>
      </w:r>
    </w:p>
    <w:p w14:paraId="531114F7">
      <w:pPr>
        <w:ind w:firstLine="709"/>
        <w:jc w:val="both"/>
        <w:rPr>
          <w:rFonts w:ascii="Calibri" w:hAnsi="Calibri" w:cs="Calibri"/>
          <w:sz w:val="22"/>
          <w:szCs w:val="20"/>
          <w:lang w:eastAsia="ru-RU" w:bidi="ar-SA"/>
        </w:rPr>
      </w:pPr>
      <w:r>
        <w:rPr>
          <w:rFonts w:eastAsia="Times New Roman" w:cs="Times New Roman"/>
          <w:sz w:val="28"/>
          <w:szCs w:val="28"/>
          <w:lang w:eastAsia="ru-RU" w:bidi="ar-SA"/>
        </w:rPr>
        <w:t>1) на 2026 год в сумме 4562,70 тыс. рублей;</w:t>
      </w:r>
    </w:p>
    <w:p w14:paraId="47333FCF">
      <w:pPr>
        <w:ind w:firstLine="709"/>
        <w:jc w:val="both"/>
        <w:rPr>
          <w:rFonts w:ascii="Calibri" w:hAnsi="Calibri" w:cs="Calibri"/>
          <w:sz w:val="22"/>
          <w:szCs w:val="20"/>
          <w:lang w:eastAsia="ru-RU" w:bidi="ar-SA"/>
        </w:rPr>
      </w:pPr>
      <w:r>
        <w:rPr>
          <w:rFonts w:eastAsia="Times New Roman" w:cs="Times New Roman"/>
          <w:sz w:val="28"/>
          <w:szCs w:val="28"/>
          <w:lang w:eastAsia="ru-RU" w:bidi="ar-SA"/>
        </w:rPr>
        <w:t>2) на 2027 год в сумме 4630,70 тыс. рублей и на 2028 год в сумме 4793,10 тыс. рублей.</w:t>
      </w:r>
    </w:p>
    <w:p w14:paraId="3AE36D8E">
      <w:pPr>
        <w:ind w:firstLine="709"/>
        <w:jc w:val="both"/>
        <w:rPr>
          <w:rFonts w:ascii="Calibri" w:hAnsi="Calibri" w:cs="Calibri"/>
          <w:sz w:val="22"/>
          <w:szCs w:val="20"/>
          <w:lang w:eastAsia="ru-RU" w:bidi="ar-SA"/>
        </w:rPr>
      </w:pPr>
      <w:r>
        <w:rPr>
          <w:rFonts w:eastAsia="Times New Roman" w:cs="Times New Roman"/>
          <w:sz w:val="28"/>
          <w:szCs w:val="28"/>
          <w:lang w:eastAsia="ru-RU" w:bidi="ar-SA"/>
        </w:rPr>
        <w:t>2. Утвердить распределение бюджетных ассигнований по разделам, подразделам, целевым статьям (муниципальным программам сельского поселения сумона Чазыларский Тоджинского кожууна Республики Тыва и внепрограммным направлениям деятельности), группам видов расходов классификации расходов бюджета поселения:</w:t>
      </w:r>
    </w:p>
    <w:p w14:paraId="65E45BF2">
      <w:pPr>
        <w:ind w:firstLine="709"/>
        <w:jc w:val="both"/>
        <w:rPr>
          <w:rFonts w:ascii="Calibri" w:hAnsi="Calibri" w:cs="Calibri"/>
          <w:sz w:val="22"/>
          <w:szCs w:val="20"/>
          <w:lang w:eastAsia="ru-RU" w:bidi="ar-SA"/>
        </w:rPr>
      </w:pPr>
      <w:bookmarkStart w:id="2" w:name="P56"/>
      <w:bookmarkEnd w:id="2"/>
      <w:r>
        <w:rPr>
          <w:rFonts w:eastAsia="Times New Roman" w:cs="Times New Roman"/>
          <w:sz w:val="28"/>
          <w:szCs w:val="28"/>
          <w:lang w:eastAsia="ru-RU" w:bidi="ar-SA"/>
        </w:rPr>
        <w:t>1) на 2026 год согласно приложению 5 к настоящему Решению;</w:t>
      </w:r>
    </w:p>
    <w:p w14:paraId="534E8A79">
      <w:pPr>
        <w:ind w:firstLine="709"/>
        <w:jc w:val="both"/>
        <w:rPr>
          <w:rFonts w:ascii="Calibri" w:hAnsi="Calibri" w:cs="Calibri"/>
          <w:sz w:val="22"/>
          <w:szCs w:val="20"/>
          <w:lang w:eastAsia="ru-RU" w:bidi="ar-SA"/>
        </w:rPr>
      </w:pPr>
      <w:r>
        <w:rPr>
          <w:rFonts w:eastAsia="Times New Roman" w:cs="Times New Roman"/>
          <w:sz w:val="28"/>
          <w:szCs w:val="28"/>
          <w:lang w:eastAsia="ru-RU" w:bidi="ar-SA"/>
        </w:rPr>
        <w:t>2) на 2027 и 2028 годы согласно приложению 5а к настоящему Решению.</w:t>
      </w:r>
    </w:p>
    <w:p w14:paraId="4201044B">
      <w:pPr>
        <w:ind w:firstLine="709"/>
        <w:jc w:val="both"/>
        <w:rPr>
          <w:rFonts w:ascii="Calibri" w:hAnsi="Calibri" w:cs="Calibri"/>
          <w:sz w:val="22"/>
          <w:szCs w:val="20"/>
          <w:lang w:eastAsia="ru-RU" w:bidi="ar-SA"/>
        </w:rPr>
      </w:pPr>
      <w:r>
        <w:rPr>
          <w:rFonts w:eastAsia="Times New Roman" w:cs="Times New Roman"/>
          <w:sz w:val="28"/>
          <w:szCs w:val="28"/>
          <w:lang w:eastAsia="ru-RU" w:bidi="ar-SA"/>
        </w:rPr>
        <w:t>3. Утвердить ведомственную структуру расходов бюджета поселения:</w:t>
      </w:r>
    </w:p>
    <w:p w14:paraId="5A3333E8">
      <w:pPr>
        <w:ind w:firstLine="709"/>
        <w:jc w:val="both"/>
        <w:rPr>
          <w:rFonts w:ascii="Calibri" w:hAnsi="Calibri" w:cs="Calibri"/>
          <w:sz w:val="22"/>
          <w:szCs w:val="20"/>
          <w:lang w:eastAsia="ru-RU" w:bidi="ar-SA"/>
        </w:rPr>
      </w:pPr>
      <w:r>
        <w:rPr>
          <w:rFonts w:eastAsia="Times New Roman" w:cs="Times New Roman"/>
          <w:sz w:val="28"/>
          <w:szCs w:val="28"/>
          <w:lang w:eastAsia="ru-RU" w:bidi="ar-SA"/>
        </w:rPr>
        <w:t>1) на 2026 год согласно приложению 6 к настоящему Решению;</w:t>
      </w:r>
    </w:p>
    <w:p w14:paraId="372C491F">
      <w:pPr>
        <w:ind w:firstLine="709"/>
        <w:jc w:val="both"/>
        <w:rPr>
          <w:rFonts w:ascii="Calibri" w:hAnsi="Calibri" w:cs="Calibri"/>
          <w:sz w:val="22"/>
          <w:szCs w:val="20"/>
          <w:lang w:eastAsia="ru-RU" w:bidi="ar-SA"/>
        </w:rPr>
      </w:pPr>
      <w:r>
        <w:rPr>
          <w:rFonts w:eastAsia="Times New Roman" w:cs="Times New Roman"/>
          <w:sz w:val="28"/>
          <w:szCs w:val="28"/>
          <w:lang w:eastAsia="ru-RU" w:bidi="ar-SA"/>
        </w:rPr>
        <w:t>2) на 2027 и 2028 годы согласно приложению 6а к настоящему Решению.</w:t>
      </w:r>
    </w:p>
    <w:p w14:paraId="71F898E5">
      <w:pPr>
        <w:ind w:firstLine="709"/>
        <w:jc w:val="both"/>
        <w:rPr>
          <w:rFonts w:ascii="Calibri" w:hAnsi="Calibri" w:cs="Calibri"/>
          <w:sz w:val="22"/>
          <w:szCs w:val="20"/>
          <w:lang w:eastAsia="ru-RU" w:bidi="ar-SA"/>
        </w:rPr>
      </w:pPr>
      <w:r>
        <w:rPr>
          <w:rFonts w:eastAsia="Times New Roman" w:cs="Times New Roman"/>
          <w:sz w:val="28"/>
          <w:szCs w:val="28"/>
          <w:lang w:eastAsia="ru-RU" w:bidi="ar-SA"/>
        </w:rPr>
        <w:t>4. Утвердить распределение бюджетных ассигнований по целевым статьям (муниципальным программам сельского поселения сумона Чазыларский Тоджинского кожууна Республики Тыва), группам видов расходов, разделам, подразделам классификации расходов бюджета поселения:</w:t>
      </w:r>
    </w:p>
    <w:p w14:paraId="79F05B2C">
      <w:pPr>
        <w:ind w:firstLine="709"/>
        <w:jc w:val="both"/>
        <w:rPr>
          <w:rFonts w:ascii="Calibri" w:hAnsi="Calibri" w:cs="Calibri"/>
          <w:sz w:val="22"/>
          <w:szCs w:val="20"/>
          <w:lang w:eastAsia="ru-RU" w:bidi="ar-SA"/>
        </w:rPr>
      </w:pPr>
      <w:r>
        <w:rPr>
          <w:rFonts w:eastAsia="Times New Roman" w:cs="Times New Roman"/>
          <w:sz w:val="28"/>
          <w:szCs w:val="28"/>
          <w:lang w:eastAsia="ru-RU" w:bidi="ar-SA"/>
        </w:rPr>
        <w:t>1) на 2026 год согласно приложению 7 к настоящему Решению;</w:t>
      </w:r>
    </w:p>
    <w:p w14:paraId="2CD1EE55">
      <w:pPr>
        <w:ind w:firstLine="709"/>
        <w:jc w:val="both"/>
        <w:rPr>
          <w:rFonts w:ascii="Calibri" w:hAnsi="Calibri" w:cs="Calibri"/>
          <w:sz w:val="22"/>
          <w:szCs w:val="20"/>
          <w:lang w:eastAsia="ru-RU" w:bidi="ar-SA"/>
        </w:rPr>
      </w:pPr>
      <w:r>
        <w:rPr>
          <w:rFonts w:eastAsia="Times New Roman" w:cs="Times New Roman"/>
          <w:sz w:val="28"/>
          <w:szCs w:val="28"/>
          <w:lang w:eastAsia="ru-RU" w:bidi="ar-SA"/>
        </w:rPr>
        <w:t>2) на 2027 и 2028 годы согласно приложению 7а к настоящему Решению.</w:t>
      </w:r>
    </w:p>
    <w:p w14:paraId="29603C4C">
      <w:pPr>
        <w:ind w:firstLine="709"/>
        <w:jc w:val="both"/>
        <w:rPr>
          <w:rFonts w:ascii="Calibri" w:hAnsi="Calibri" w:cs="Calibri"/>
          <w:sz w:val="22"/>
          <w:szCs w:val="20"/>
          <w:lang w:eastAsia="ru-RU" w:bidi="ar-SA"/>
        </w:rPr>
      </w:pPr>
      <w:r>
        <w:rPr>
          <w:rFonts w:eastAsia="Times New Roman" w:cs="Times New Roman"/>
          <w:sz w:val="28"/>
          <w:szCs w:val="28"/>
          <w:lang w:eastAsia="ru-RU" w:bidi="ar-SA"/>
        </w:rPr>
        <w:t>5. Установить, что в 2026 году и плановые периоды 2027-2028 годы за счет средств бюджета поселения оказываются муниципальные услуги (выполняются работы) в соответствии с перечнем, объемом муниципальных услуг (работ) и нормативами финансовых затрат (стоимостью) муниципальных услуг (работ), утвержденными органами местного самоуправления сельского поселения сумона Чазыларский Тоджинского кожууна Республики Тыва. Оказание муниципальных услуг (выполнение работ) осуществляется в соответствии с муниципальным заданием, сформированным в порядке, установленном Администрацией сельского поселения сумона Чазыларский Тоджинского кожууна Республики Тыва.</w:t>
      </w:r>
    </w:p>
    <w:p w14:paraId="61915017">
      <w:pPr>
        <w:ind w:firstLine="709"/>
        <w:jc w:val="both"/>
        <w:rPr>
          <w:rFonts w:eastAsia="Times New Roman" w:cs="Times New Roman"/>
          <w:sz w:val="28"/>
          <w:szCs w:val="28"/>
          <w:lang w:eastAsia="ru-RU" w:bidi="ar-SA"/>
        </w:rPr>
      </w:pPr>
      <w:bookmarkStart w:id="3" w:name="P69"/>
      <w:bookmarkEnd w:id="3"/>
    </w:p>
    <w:p w14:paraId="64ABAD90">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5. Особенности использования бюджетных ассигнований по обеспечению деятельности органов местного самоуправления Республики Тыва и муниципальных учреждений</w:t>
      </w:r>
    </w:p>
    <w:p w14:paraId="7A5026AB">
      <w:pPr>
        <w:ind w:firstLine="709"/>
        <w:jc w:val="both"/>
        <w:rPr>
          <w:rFonts w:eastAsia="Times New Roman" w:cs="Times New Roman"/>
          <w:sz w:val="28"/>
          <w:szCs w:val="28"/>
          <w:lang w:eastAsia="ru-RU" w:bidi="ar-SA"/>
        </w:rPr>
      </w:pPr>
    </w:p>
    <w:p w14:paraId="5A512AF1">
      <w:pPr>
        <w:ind w:firstLine="709"/>
        <w:jc w:val="both"/>
        <w:rPr>
          <w:rFonts w:ascii="Calibri" w:hAnsi="Calibri" w:cs="Calibri"/>
          <w:sz w:val="22"/>
          <w:szCs w:val="20"/>
          <w:lang w:eastAsia="ru-RU" w:bidi="ar-SA"/>
        </w:rPr>
      </w:pPr>
      <w:r>
        <w:rPr>
          <w:rFonts w:eastAsia="Times New Roman" w:cs="Times New Roman"/>
          <w:sz w:val="28"/>
          <w:szCs w:val="28"/>
          <w:lang w:eastAsia="ru-RU" w:bidi="ar-SA"/>
        </w:rPr>
        <w:t>1. Органы местного самоуправления сельского поселения сумона Чазыларский Тоджинского кожууна Республики Тыва не вправе принимать решения, приводящие к увеличению численности муниципальных служащих и работников муниципальных казенных учреждений.</w:t>
      </w:r>
    </w:p>
    <w:p w14:paraId="7805C799">
      <w:pPr>
        <w:ind w:firstLine="709"/>
        <w:jc w:val="both"/>
        <w:rPr>
          <w:rFonts w:eastAsia="Times New Roman" w:cs="Times New Roman"/>
          <w:sz w:val="28"/>
          <w:szCs w:val="28"/>
          <w:lang w:eastAsia="ru-RU" w:bidi="ar-SA"/>
        </w:rPr>
      </w:pPr>
    </w:p>
    <w:p w14:paraId="5FFE5B31">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6. Субсидии юридическим лицам (за исключением субсидий муниципальным учреждениям), индивидуальным предпринимателям, физическим лицам</w:t>
      </w:r>
    </w:p>
    <w:p w14:paraId="08159010">
      <w:pPr>
        <w:ind w:firstLine="709"/>
        <w:jc w:val="both"/>
        <w:rPr>
          <w:rFonts w:eastAsia="Times New Roman" w:cs="Times New Roman"/>
          <w:sz w:val="28"/>
          <w:szCs w:val="28"/>
          <w:lang w:eastAsia="ru-RU" w:bidi="ar-SA"/>
        </w:rPr>
      </w:pPr>
    </w:p>
    <w:p w14:paraId="7A5D4117">
      <w:pPr>
        <w:ind w:firstLine="709"/>
        <w:jc w:val="both"/>
        <w:rPr>
          <w:rFonts w:ascii="Calibri" w:hAnsi="Calibri" w:cs="Calibri"/>
          <w:sz w:val="22"/>
          <w:szCs w:val="20"/>
          <w:lang w:eastAsia="ru-RU" w:bidi="ar-SA"/>
        </w:rPr>
      </w:pPr>
      <w:r>
        <w:rPr>
          <w:rFonts w:eastAsia="Times New Roman" w:cs="Times New Roman"/>
          <w:sz w:val="28"/>
          <w:szCs w:val="28"/>
          <w:lang w:eastAsia="ru-RU" w:bidi="ar-SA"/>
        </w:rPr>
        <w:t>1. Установить, что в 2026 году и плановые периоды 2027-2028 годы из бюджета сельского поселения субсидии юридическим лицам, не являющимся государственными, муниципальными учреждениями, индивидуальным предпринимателям, физическим лицам - производителям товаров, работ и услуг - предоставляются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в порядке, установленном Администрацией сельского поселения сумона Чазыларский Тоджинского кожууна Республики Тыва.</w:t>
      </w:r>
    </w:p>
    <w:p w14:paraId="63EA882F">
      <w:pPr>
        <w:ind w:firstLine="709"/>
        <w:jc w:val="both"/>
        <w:rPr>
          <w:rFonts w:ascii="Calibri" w:hAnsi="Calibri" w:cs="Calibri"/>
          <w:sz w:val="22"/>
          <w:szCs w:val="20"/>
          <w:lang w:eastAsia="ru-RU" w:bidi="ar-SA"/>
        </w:rPr>
      </w:pPr>
      <w:r>
        <w:rPr>
          <w:rFonts w:eastAsia="Times New Roman" w:cs="Times New Roman"/>
          <w:sz w:val="28"/>
          <w:szCs w:val="28"/>
          <w:lang w:eastAsia="ru-RU" w:bidi="ar-SA"/>
        </w:rPr>
        <w:t>2.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 - цели, порядок определения размера субсидий, условия и порядок предоставления субсидий, порядок возврата субсидий в бюджет поселения в случае нарушения условий, установленных при их предоставлении, порядок возврата в текущем финансовом году получателем субсидии остатков субсидии, не использованных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распорядителем бюджетных средств, предоставляющим субсидию, и органом муниципального финансового контроля соблюдения условий, целей и порядка предоставления субсидии их получателем утверждаются Администрацией сельского  поселения сумона Чазыларский Тоджинского кожууна Республики Тыва.</w:t>
      </w:r>
    </w:p>
    <w:p w14:paraId="7671CDD8">
      <w:pPr>
        <w:ind w:firstLine="709"/>
        <w:jc w:val="both"/>
        <w:rPr>
          <w:rFonts w:eastAsia="Times New Roman" w:cs="Times New Roman"/>
          <w:sz w:val="28"/>
          <w:szCs w:val="28"/>
          <w:lang w:eastAsia="ru-RU" w:bidi="ar-SA"/>
        </w:rPr>
      </w:pPr>
      <w:bookmarkStart w:id="4" w:name="P103"/>
      <w:bookmarkEnd w:id="4"/>
    </w:p>
    <w:p w14:paraId="1EFAD868">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7. Муниципальные внутренние заимствования сельского поселения сумона Чазыларский Тоджинского кожууна Республики Тыва и муниципальный внутренний долг Республики Тыва</w:t>
      </w:r>
    </w:p>
    <w:p w14:paraId="4BE2A38B">
      <w:pPr>
        <w:ind w:firstLine="709"/>
        <w:jc w:val="both"/>
        <w:rPr>
          <w:rFonts w:eastAsia="Times New Roman" w:cs="Times New Roman"/>
          <w:sz w:val="28"/>
          <w:szCs w:val="28"/>
          <w:lang w:eastAsia="ru-RU" w:bidi="ar-SA"/>
        </w:rPr>
      </w:pPr>
    </w:p>
    <w:p w14:paraId="3BB32A3F">
      <w:pPr>
        <w:ind w:firstLine="709"/>
        <w:jc w:val="both"/>
        <w:rPr>
          <w:rFonts w:ascii="Calibri" w:hAnsi="Calibri" w:cs="Calibri"/>
          <w:sz w:val="22"/>
          <w:szCs w:val="20"/>
          <w:lang w:eastAsia="ru-RU" w:bidi="ar-SA"/>
        </w:rPr>
      </w:pPr>
      <w:r>
        <w:rPr>
          <w:rFonts w:eastAsia="Times New Roman" w:cs="Times New Roman"/>
          <w:sz w:val="28"/>
          <w:szCs w:val="28"/>
          <w:lang w:eastAsia="ru-RU" w:bidi="ar-SA"/>
        </w:rPr>
        <w:t>1. Программы муниципальных внутренних заимствований сельского поселения сумона Чазыларский Тоджинского кожууна Республики Тыва на 2026 год и плановые периоды 2027-2028 годы не предусмотрены.</w:t>
      </w:r>
    </w:p>
    <w:p w14:paraId="3104A37D">
      <w:pPr>
        <w:ind w:firstLine="709"/>
        <w:jc w:val="both"/>
        <w:rPr>
          <w:rFonts w:ascii="Calibri" w:hAnsi="Calibri" w:cs="Calibri"/>
          <w:sz w:val="22"/>
          <w:szCs w:val="20"/>
          <w:lang w:eastAsia="ru-RU" w:bidi="ar-SA"/>
        </w:rPr>
      </w:pPr>
      <w:r>
        <w:rPr>
          <w:rFonts w:eastAsia="Times New Roman" w:cs="Times New Roman"/>
          <w:sz w:val="28"/>
          <w:szCs w:val="28"/>
          <w:lang w:eastAsia="ru-RU" w:bidi="ar-SA"/>
        </w:rPr>
        <w:t>2. Установить верхний предел внутреннего долга сельского поселения сумона Чазыларский Тоджинского кожууна Республики Тыва, в том числе по муниципальным гарантиям сельского поселения сумона Чазыларский Тоджинского кожууна Республики Тыва на 1 января 2026 года в сумме 0,0 тыс. рублей, на 1 января 2027 года в сумме 0,0   тыс. рублей и на 1 января 2028 года в сумме 0,0 тыс. рублей.</w:t>
      </w:r>
    </w:p>
    <w:p w14:paraId="61028769">
      <w:pPr>
        <w:ind w:firstLine="709"/>
        <w:jc w:val="both"/>
        <w:rPr>
          <w:rFonts w:ascii="Calibri" w:hAnsi="Calibri" w:cs="Calibri"/>
          <w:sz w:val="22"/>
          <w:szCs w:val="20"/>
          <w:lang w:eastAsia="ru-RU" w:bidi="ar-SA"/>
        </w:rPr>
      </w:pPr>
      <w:r>
        <w:rPr>
          <w:rFonts w:eastAsia="Times New Roman" w:cs="Times New Roman"/>
          <w:sz w:val="28"/>
          <w:szCs w:val="28"/>
          <w:lang w:eastAsia="ru-RU" w:bidi="ar-SA"/>
        </w:rPr>
        <w:t>3. Предельный объем муниципального долга сельского поселения сумона Чазыларский Тоджинского кожууна Республики Тыва на 2026 год не должен превышать 0,0 тыс. рублей, на 2027 год 0,0 тыс. рублей, на 2028 год 0,0 тыс. рублей.</w:t>
      </w:r>
    </w:p>
    <w:p w14:paraId="3A80B9E7">
      <w:pPr>
        <w:ind w:firstLine="709"/>
        <w:jc w:val="both"/>
        <w:rPr>
          <w:rFonts w:ascii="Calibri" w:hAnsi="Calibri" w:cs="Calibri"/>
          <w:sz w:val="22"/>
          <w:szCs w:val="20"/>
          <w:lang w:eastAsia="ru-RU" w:bidi="ar-SA"/>
        </w:rPr>
      </w:pPr>
      <w:r>
        <w:rPr>
          <w:rFonts w:eastAsia="Times New Roman" w:cs="Times New Roman"/>
          <w:sz w:val="28"/>
          <w:szCs w:val="28"/>
          <w:lang w:eastAsia="ru-RU" w:bidi="ar-SA"/>
        </w:rPr>
        <w:t>4. Утвердить в составе расходов бюджета поселения бюджетные ассигнования на обслуживание муниципального долга Республики Тыва:</w:t>
      </w:r>
    </w:p>
    <w:p w14:paraId="5AB647CB">
      <w:pPr>
        <w:ind w:firstLine="709"/>
        <w:jc w:val="both"/>
        <w:rPr>
          <w:rFonts w:ascii="Calibri" w:hAnsi="Calibri" w:cs="Calibri"/>
          <w:sz w:val="22"/>
          <w:szCs w:val="20"/>
          <w:lang w:eastAsia="ru-RU" w:bidi="ar-SA"/>
        </w:rPr>
      </w:pPr>
      <w:r>
        <w:rPr>
          <w:rFonts w:eastAsia="Times New Roman" w:cs="Times New Roman"/>
          <w:sz w:val="28"/>
          <w:szCs w:val="28"/>
          <w:lang w:eastAsia="ru-RU" w:bidi="ar-SA"/>
        </w:rPr>
        <w:t>1) в 2026 году в сумме 0,0 тыс. рублей;</w:t>
      </w:r>
    </w:p>
    <w:p w14:paraId="67E99258">
      <w:pPr>
        <w:ind w:firstLine="709"/>
        <w:jc w:val="both"/>
        <w:rPr>
          <w:rFonts w:ascii="Calibri" w:hAnsi="Calibri" w:cs="Calibri"/>
          <w:sz w:val="22"/>
          <w:szCs w:val="20"/>
          <w:lang w:eastAsia="ru-RU" w:bidi="ar-SA"/>
        </w:rPr>
      </w:pPr>
      <w:r>
        <w:rPr>
          <w:rFonts w:eastAsia="Times New Roman" w:cs="Times New Roman"/>
          <w:sz w:val="28"/>
          <w:szCs w:val="28"/>
          <w:lang w:eastAsia="ru-RU" w:bidi="ar-SA"/>
        </w:rPr>
        <w:t>2) в 2027 году в сумме 0,0 тыс. рублей;</w:t>
      </w:r>
    </w:p>
    <w:p w14:paraId="137DBA07">
      <w:pPr>
        <w:ind w:firstLine="709"/>
        <w:jc w:val="both"/>
        <w:rPr>
          <w:rFonts w:ascii="Calibri" w:hAnsi="Calibri" w:cs="Calibri"/>
          <w:sz w:val="22"/>
          <w:szCs w:val="20"/>
          <w:lang w:eastAsia="ru-RU" w:bidi="ar-SA"/>
        </w:rPr>
      </w:pPr>
      <w:r>
        <w:rPr>
          <w:rFonts w:eastAsia="Times New Roman" w:cs="Times New Roman"/>
          <w:sz w:val="28"/>
          <w:szCs w:val="28"/>
          <w:lang w:eastAsia="ru-RU" w:bidi="ar-SA"/>
        </w:rPr>
        <w:t>3) в 2028 году в сумме 0,0 тыс. рублей.</w:t>
      </w:r>
    </w:p>
    <w:p w14:paraId="771335FD">
      <w:pPr>
        <w:ind w:firstLine="709"/>
        <w:jc w:val="both"/>
        <w:rPr>
          <w:rFonts w:eastAsia="Times New Roman" w:cs="Times New Roman"/>
          <w:sz w:val="28"/>
          <w:szCs w:val="28"/>
          <w:lang w:eastAsia="ru-RU" w:bidi="ar-SA"/>
        </w:rPr>
      </w:pPr>
    </w:p>
    <w:p w14:paraId="66A9D756">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8. Предоставление муниципальных гарантий сельского поселения сумона Чазыларский Тоджинского кожууна Республики Тыва в валюте Российской Федерации</w:t>
      </w:r>
    </w:p>
    <w:p w14:paraId="1ECC0A04">
      <w:pPr>
        <w:ind w:firstLine="709"/>
        <w:jc w:val="both"/>
        <w:rPr>
          <w:rFonts w:ascii="Calibri" w:hAnsi="Calibri" w:cs="Calibri"/>
          <w:sz w:val="22"/>
          <w:szCs w:val="20"/>
          <w:lang w:eastAsia="ru-RU" w:bidi="ar-SA"/>
        </w:rPr>
      </w:pPr>
      <w:r>
        <w:rPr>
          <w:rFonts w:eastAsia="Times New Roman" w:cs="Times New Roman"/>
          <w:sz w:val="28"/>
          <w:szCs w:val="28"/>
          <w:lang w:eastAsia="ru-RU" w:bidi="ar-SA"/>
        </w:rPr>
        <w:t>Установить, что в 2026 году и плановые периоды 2027-2028 годы муниципальные гарантии сельского поселения сумона Чазыларский Тоджинского кожууна Республики Тыва не предоставляются.</w:t>
      </w:r>
    </w:p>
    <w:p w14:paraId="0D6734F4">
      <w:pPr>
        <w:ind w:firstLine="709"/>
        <w:jc w:val="both"/>
        <w:rPr>
          <w:rFonts w:eastAsia="Times New Roman" w:cs="Times New Roman"/>
          <w:sz w:val="28"/>
          <w:szCs w:val="28"/>
          <w:lang w:eastAsia="ru-RU" w:bidi="ar-SA"/>
        </w:rPr>
      </w:pPr>
    </w:p>
    <w:p w14:paraId="3E9DDEA7">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9. Резервный фонд Администрации сельского поселения сумона Чазыларский Тоджинского кожууна Республики Тыва</w:t>
      </w:r>
    </w:p>
    <w:p w14:paraId="1CF298BC">
      <w:pPr>
        <w:ind w:firstLine="709"/>
        <w:jc w:val="both"/>
        <w:rPr>
          <w:rFonts w:eastAsia="Times New Roman" w:cs="Times New Roman"/>
          <w:sz w:val="28"/>
          <w:szCs w:val="28"/>
          <w:lang w:eastAsia="ru-RU" w:bidi="ar-SA"/>
        </w:rPr>
      </w:pPr>
    </w:p>
    <w:p w14:paraId="33263047">
      <w:pPr>
        <w:ind w:firstLine="709"/>
        <w:jc w:val="both"/>
        <w:rPr>
          <w:rFonts w:ascii="Calibri" w:hAnsi="Calibri" w:cs="Calibri"/>
          <w:sz w:val="22"/>
          <w:szCs w:val="20"/>
          <w:lang w:eastAsia="ru-RU" w:bidi="ar-SA"/>
        </w:rPr>
      </w:pPr>
      <w:r>
        <w:rPr>
          <w:rFonts w:eastAsia="Times New Roman" w:cs="Times New Roman"/>
          <w:sz w:val="28"/>
          <w:szCs w:val="28"/>
          <w:lang w:eastAsia="ru-RU" w:bidi="ar-SA"/>
        </w:rPr>
        <w:t>Установить, что в расходной части бюджета поселения предусматривается резервный фонд Администрации сельского поселения сумона Чазыларский Республики Тыва на 2026 год в сумме 10,0 тыс. рублей, на 2027 год в сумме 10,0 тыс. рублей, на 2028 год в сумме 10,0 тыс. рублей.</w:t>
      </w:r>
    </w:p>
    <w:p w14:paraId="4DB40470">
      <w:pPr>
        <w:ind w:firstLine="709"/>
        <w:jc w:val="both"/>
        <w:rPr>
          <w:rFonts w:eastAsia="Times New Roman" w:cs="Times New Roman"/>
          <w:sz w:val="28"/>
          <w:szCs w:val="28"/>
          <w:lang w:eastAsia="ru-RU" w:bidi="ar-SA"/>
        </w:rPr>
      </w:pPr>
    </w:p>
    <w:p w14:paraId="6038486A">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10. Дорожный фонд сельского поселения сумона Чазыларский Тоджинского кожууна Республики Тыва</w:t>
      </w:r>
    </w:p>
    <w:p w14:paraId="33B3BEFF">
      <w:pPr>
        <w:ind w:firstLine="709"/>
        <w:jc w:val="both"/>
        <w:rPr>
          <w:rFonts w:eastAsia="Times New Roman" w:cs="Times New Roman"/>
          <w:sz w:val="28"/>
          <w:szCs w:val="28"/>
          <w:lang w:eastAsia="ru-RU" w:bidi="ar-SA"/>
        </w:rPr>
      </w:pPr>
    </w:p>
    <w:p w14:paraId="19BABE00">
      <w:pPr>
        <w:ind w:firstLine="709"/>
        <w:jc w:val="both"/>
        <w:rPr>
          <w:rFonts w:ascii="Calibri" w:hAnsi="Calibri" w:cs="Calibri"/>
          <w:sz w:val="22"/>
          <w:szCs w:val="20"/>
          <w:lang w:eastAsia="ru-RU" w:bidi="ar-SA"/>
        </w:rPr>
      </w:pPr>
      <w:r>
        <w:rPr>
          <w:rFonts w:eastAsia="Times New Roman" w:cs="Times New Roman"/>
          <w:sz w:val="28"/>
          <w:szCs w:val="28"/>
          <w:lang w:eastAsia="ru-RU" w:bidi="ar-SA"/>
        </w:rPr>
        <w:t>Утвердить объем бюджетных ассигнований Дорожного фонда сельского поселения сумона Чазыларский Тоджинского кожууна Республики Тыва на 2026 год в сумме 0,0 тыс. рублей, на 2027 год в сумме 0,0 тыс. рублей, на 2028 год в сумме 0,0 тыс. рублей.</w:t>
      </w:r>
    </w:p>
    <w:p w14:paraId="44A76A08">
      <w:pPr>
        <w:ind w:firstLine="709"/>
        <w:jc w:val="both"/>
        <w:rPr>
          <w:rFonts w:eastAsia="Times New Roman" w:cs="Times New Roman"/>
          <w:sz w:val="28"/>
          <w:szCs w:val="28"/>
          <w:lang w:eastAsia="ru-RU" w:bidi="ar-SA"/>
        </w:rPr>
      </w:pPr>
    </w:p>
    <w:p w14:paraId="42ED86DD">
      <w:pPr>
        <w:ind w:firstLine="709"/>
        <w:jc w:val="both"/>
        <w:rPr>
          <w:rFonts w:ascii="Calibri" w:hAnsi="Calibri" w:cs="Calibri"/>
          <w:b/>
          <w:sz w:val="22"/>
          <w:szCs w:val="20"/>
          <w:lang w:eastAsia="ru-RU" w:bidi="ar-SA"/>
        </w:rPr>
      </w:pPr>
      <w:r>
        <w:rPr>
          <w:rFonts w:eastAsia="Times New Roman" w:cs="Times New Roman"/>
          <w:b/>
          <w:sz w:val="28"/>
          <w:szCs w:val="28"/>
          <w:lang w:eastAsia="ru-RU" w:bidi="ar-SA"/>
        </w:rPr>
        <w:t>Статья 11. Особенности исполнения бюджета поселения на 2026 год</w:t>
      </w:r>
    </w:p>
    <w:p w14:paraId="40B7798A">
      <w:pPr>
        <w:ind w:firstLine="709"/>
        <w:jc w:val="both"/>
        <w:rPr>
          <w:rFonts w:eastAsia="Times New Roman" w:cs="Times New Roman"/>
          <w:sz w:val="28"/>
          <w:szCs w:val="28"/>
          <w:lang w:eastAsia="ru-RU" w:bidi="ar-SA"/>
        </w:rPr>
      </w:pPr>
    </w:p>
    <w:p w14:paraId="54E36F66">
      <w:pPr>
        <w:ind w:firstLine="709"/>
        <w:jc w:val="both"/>
        <w:rPr>
          <w:rFonts w:ascii="Calibri" w:hAnsi="Calibri" w:cs="Calibri"/>
          <w:sz w:val="22"/>
          <w:szCs w:val="20"/>
          <w:lang w:eastAsia="ru-RU" w:bidi="ar-SA"/>
        </w:rPr>
      </w:pPr>
      <w:r>
        <w:rPr>
          <w:rFonts w:eastAsia="Times New Roman" w:cs="Times New Roman"/>
          <w:sz w:val="28"/>
          <w:szCs w:val="28"/>
          <w:lang w:eastAsia="ru-RU" w:bidi="ar-SA"/>
        </w:rPr>
        <w:t>1. Установить, что не использованные по состоянию на 1 января 2026 года остатки межбюджетных трансфертов, предоставленных из кожуунного бюджета бюджету поселения сумона Чазыларский Тоджинского кожууна Республики Тыва в форме субвенций, субсидий и иных межбюджетных трансфертов, имеющих целевое назначение, подлежат возврату в кожуунный бюджет в течение первых 15 рабочих дней 2026 года.</w:t>
      </w:r>
    </w:p>
    <w:p w14:paraId="3A7CC397">
      <w:pPr>
        <w:ind w:firstLine="709"/>
        <w:jc w:val="both"/>
        <w:rPr>
          <w:rFonts w:ascii="Calibri" w:hAnsi="Calibri" w:cs="Calibri"/>
          <w:sz w:val="22"/>
          <w:szCs w:val="20"/>
          <w:lang w:eastAsia="ru-RU" w:bidi="ar-SA"/>
        </w:rPr>
      </w:pPr>
      <w:r>
        <w:rPr>
          <w:rFonts w:eastAsia="Times New Roman" w:cs="Times New Roman"/>
          <w:sz w:val="28"/>
          <w:szCs w:val="28"/>
          <w:lang w:eastAsia="ru-RU" w:bidi="ar-SA"/>
        </w:rPr>
        <w:t>2. Администрация сельского поселения сумона Чазыларский Тоджинского кожууна Республики Тыва вправе в случае отклонения поступлений совокупных доходов в бюджет поселения против сумм, установленных статьями 1 и 2 настоящего Закона, привлекать кредиты кредитных организаций и бюджетные кредиты для покрытия временных кассовых разрывов, возникающих при исполнении бюджета поселения, в порядке, предусмотренном бюджетным законодательством Российской Федерации.</w:t>
      </w:r>
    </w:p>
    <w:p w14:paraId="432BD8A1">
      <w:pPr>
        <w:ind w:firstLine="709"/>
        <w:jc w:val="both"/>
        <w:rPr>
          <w:rFonts w:ascii="Calibri" w:hAnsi="Calibri" w:cs="Calibri"/>
          <w:sz w:val="22"/>
          <w:szCs w:val="20"/>
          <w:lang w:eastAsia="ru-RU" w:bidi="ar-SA"/>
        </w:rPr>
      </w:pPr>
      <w:r>
        <w:rPr>
          <w:rFonts w:eastAsia="Times New Roman" w:cs="Times New Roman"/>
          <w:sz w:val="28"/>
          <w:szCs w:val="28"/>
          <w:lang w:eastAsia="ru-RU" w:bidi="ar-SA"/>
        </w:rPr>
        <w:t>Предоставить в 2026 году и плановые периоды 2027-2028 годы администрации сельского поселения сумона Чазыларский Тоджинского кожууна Республики Тыва в целях исполнения бюджета поселения право привлекать из федерального бюджета бюджетные кредиты на пополнение остатков средств на счетах бюджета поселения в соответствии со статьей 93.6 Бюджетного кодекса Российской Федерации в порядке, предусмотренном бюджетным законодательством Российской Федерации.</w:t>
      </w:r>
    </w:p>
    <w:p w14:paraId="1C39BC59">
      <w:pPr>
        <w:ind w:firstLine="709"/>
        <w:jc w:val="both"/>
        <w:rPr>
          <w:rFonts w:eastAsia="Times New Roman" w:cs="Times New Roman"/>
          <w:sz w:val="28"/>
          <w:szCs w:val="28"/>
          <w:lang w:eastAsia="ru-RU" w:bidi="ar-SA"/>
        </w:rPr>
      </w:pPr>
      <w:r>
        <w:rPr>
          <w:rFonts w:eastAsia="Times New Roman" w:cs="Times New Roman"/>
          <w:sz w:val="28"/>
          <w:szCs w:val="28"/>
          <w:lang w:eastAsia="ru-RU" w:bidi="ar-SA"/>
        </w:rPr>
        <w:t>Право заключения договора о предоставлении бюджетного кредита на пополнение остатков средств на счетах бюджета поселения от имени администрации сельского поселения сумона Чазыларский Тоджинского кожууна Республики Тыва предоставить Финансовому управлению муниципального образования «Тоджинский кожуун» Республики Тыва.</w:t>
      </w:r>
    </w:p>
    <w:p w14:paraId="3AB9B290">
      <w:pPr>
        <w:ind w:firstLine="709"/>
        <w:jc w:val="both"/>
        <w:rPr>
          <w:rFonts w:eastAsia="Times New Roman" w:cs="Times New Roman"/>
          <w:sz w:val="28"/>
          <w:szCs w:val="28"/>
          <w:lang w:eastAsia="ru-RU" w:bidi="ar-SA"/>
        </w:rPr>
      </w:pPr>
    </w:p>
    <w:p w14:paraId="5487F729">
      <w:pPr>
        <w:pStyle w:val="4"/>
        <w:spacing w:before="0" w:beforeAutospacing="0" w:after="300" w:afterAutospacing="0" w:line="384" w:lineRule="atLeast"/>
        <w:rPr>
          <w:b/>
          <w:color w:val="000000"/>
          <w:spacing w:val="3"/>
          <w:sz w:val="28"/>
          <w:szCs w:val="28"/>
        </w:rPr>
      </w:pPr>
      <w:r>
        <w:rPr>
          <w:b/>
          <w:color w:val="000000"/>
          <w:spacing w:val="3"/>
          <w:sz w:val="28"/>
          <w:szCs w:val="28"/>
        </w:rPr>
        <w:t xml:space="preserve">       Статья 12. Казначейское сопровождение</w:t>
      </w:r>
    </w:p>
    <w:p w14:paraId="6D4A4596">
      <w:pPr>
        <w:pStyle w:val="4"/>
        <w:spacing w:before="0" w:beforeAutospacing="0" w:after="300" w:afterAutospacing="0" w:line="384" w:lineRule="atLeast"/>
        <w:jc w:val="both"/>
        <w:rPr>
          <w:color w:val="000000"/>
          <w:spacing w:val="3"/>
          <w:sz w:val="28"/>
          <w:szCs w:val="28"/>
        </w:rPr>
      </w:pPr>
      <w:r>
        <w:rPr>
          <w:color w:val="000000"/>
          <w:spacing w:val="3"/>
          <w:sz w:val="28"/>
          <w:szCs w:val="28"/>
        </w:rPr>
        <w:t xml:space="preserve">1) </w:t>
      </w:r>
      <w:r>
        <w:rPr>
          <w:sz w:val="28"/>
        </w:rPr>
        <w:t>расчетов по муниципальным контрактам о поставке товаров, выполнении работ, оказании услуг, заключаемым на сумму более 3 млн. рублей;</w:t>
      </w:r>
    </w:p>
    <w:p w14:paraId="05D1921D">
      <w:pPr>
        <w:pStyle w:val="4"/>
        <w:spacing w:before="0" w:beforeAutospacing="0" w:after="300" w:afterAutospacing="0" w:line="384" w:lineRule="atLeast"/>
        <w:rPr>
          <w:color w:val="000000"/>
          <w:spacing w:val="3"/>
          <w:sz w:val="28"/>
          <w:szCs w:val="28"/>
        </w:rPr>
      </w:pPr>
      <w:r>
        <w:rPr>
          <w:color w:val="000000"/>
          <w:spacing w:val="3"/>
          <w:sz w:val="28"/>
          <w:szCs w:val="28"/>
        </w:rPr>
        <w:t>2) субсидии юридическим лицам, индивидуальным предпринимателям, предоставляемые из бюджета, источником финансового обеспечения которых являются межбюджетные трансферты, имеющие целевое назначение, предоставляемые из республиканского бюджета.</w:t>
      </w:r>
    </w:p>
    <w:p w14:paraId="09F46563">
      <w:pPr>
        <w:jc w:val="both"/>
        <w:rPr>
          <w:rFonts w:ascii="Calibri" w:hAnsi="Calibri" w:cs="Calibri"/>
          <w:sz w:val="22"/>
          <w:szCs w:val="20"/>
          <w:lang w:eastAsia="ru-RU" w:bidi="ar-SA"/>
        </w:rPr>
      </w:pPr>
    </w:p>
    <w:p w14:paraId="0C9C5F16">
      <w:pPr>
        <w:ind w:firstLine="709"/>
        <w:jc w:val="both"/>
        <w:rPr>
          <w:rFonts w:eastAsia="Times New Roman" w:cs="Times New Roman"/>
          <w:sz w:val="28"/>
          <w:szCs w:val="28"/>
          <w:lang w:eastAsia="ru-RU" w:bidi="ar-SA"/>
        </w:rPr>
      </w:pPr>
    </w:p>
    <w:p w14:paraId="612A9A78">
      <w:pPr>
        <w:jc w:val="both"/>
        <w:rPr>
          <w:rFonts w:ascii="Calibri" w:hAnsi="Calibri" w:cs="Calibri"/>
          <w:b/>
          <w:sz w:val="22"/>
          <w:szCs w:val="20"/>
          <w:lang w:eastAsia="ru-RU" w:bidi="ar-SA"/>
        </w:rPr>
      </w:pPr>
      <w:r>
        <w:rPr>
          <w:rFonts w:eastAsia="Times New Roman" w:cs="Times New Roman"/>
          <w:b/>
          <w:sz w:val="28"/>
          <w:szCs w:val="28"/>
          <w:lang w:eastAsia="ru-RU" w:bidi="ar-SA"/>
        </w:rPr>
        <w:t xml:space="preserve">       Статья 13. Порядок вступления в силу настоящего Решения</w:t>
      </w:r>
    </w:p>
    <w:p w14:paraId="49F8A4CB">
      <w:pPr>
        <w:ind w:firstLine="709"/>
        <w:jc w:val="both"/>
        <w:rPr>
          <w:rFonts w:eastAsia="Times New Roman" w:cs="Times New Roman"/>
          <w:sz w:val="28"/>
          <w:szCs w:val="28"/>
          <w:lang w:eastAsia="ru-RU" w:bidi="ar-SA"/>
        </w:rPr>
      </w:pPr>
    </w:p>
    <w:p w14:paraId="7EF5A3B1">
      <w:pPr>
        <w:ind w:firstLine="709"/>
        <w:jc w:val="both"/>
        <w:rPr>
          <w:rFonts w:ascii="Calibri" w:hAnsi="Calibri" w:cs="Calibri"/>
          <w:sz w:val="22"/>
          <w:szCs w:val="20"/>
          <w:lang w:eastAsia="ru-RU" w:bidi="ar-SA"/>
        </w:rPr>
      </w:pPr>
      <w:r>
        <w:rPr>
          <w:rFonts w:eastAsia="Times New Roman" w:cs="Times New Roman"/>
          <w:sz w:val="28"/>
          <w:szCs w:val="28"/>
          <w:lang w:eastAsia="ru-RU" w:bidi="ar-SA"/>
        </w:rPr>
        <w:t>Настоящее Решение вступает в силу с 1 января 2026 года.</w:t>
      </w:r>
    </w:p>
    <w:p w14:paraId="17C78514">
      <w:pPr>
        <w:ind w:firstLine="709"/>
        <w:jc w:val="both"/>
        <w:rPr>
          <w:rFonts w:eastAsia="Times New Roman" w:cs="Times New Roman"/>
          <w:sz w:val="28"/>
          <w:szCs w:val="28"/>
          <w:lang w:eastAsia="ru-RU" w:bidi="ar-SA"/>
        </w:rPr>
      </w:pPr>
    </w:p>
    <w:p w14:paraId="23203A13">
      <w:pPr>
        <w:pStyle w:val="5"/>
        <w:jc w:val="both"/>
        <w:rPr>
          <w:rFonts w:ascii="Times New Roman" w:hAnsi="Times New Roman"/>
          <w:sz w:val="28"/>
          <w:szCs w:val="28"/>
        </w:rPr>
      </w:pPr>
    </w:p>
    <w:p w14:paraId="69920B93">
      <w:pPr>
        <w:pStyle w:val="5"/>
        <w:jc w:val="both"/>
        <w:rPr>
          <w:rFonts w:ascii="Times New Roman" w:hAnsi="Times New Roman"/>
          <w:sz w:val="28"/>
          <w:szCs w:val="28"/>
        </w:rPr>
      </w:pPr>
    </w:p>
    <w:p w14:paraId="03FBE4F4">
      <w:pPr>
        <w:pStyle w:val="5"/>
        <w:rPr>
          <w:rFonts w:ascii="Times New Roman" w:hAnsi="Times New Roman"/>
          <w:sz w:val="28"/>
          <w:szCs w:val="28"/>
        </w:rPr>
      </w:pPr>
      <w:r>
        <w:rPr>
          <w:rFonts w:ascii="Times New Roman" w:hAnsi="Times New Roman"/>
          <w:sz w:val="28"/>
          <w:szCs w:val="28"/>
        </w:rPr>
        <w:t>И.о. главы схода граждан</w:t>
      </w:r>
      <w:r>
        <w:rPr>
          <w:rFonts w:ascii="Times New Roman" w:hAnsi="Times New Roman"/>
          <w:sz w:val="28"/>
          <w:szCs w:val="28"/>
        </w:rPr>
        <w:br w:type="textWrapping"/>
      </w:r>
      <w:r>
        <w:rPr>
          <w:rFonts w:ascii="Times New Roman" w:hAnsi="Times New Roman"/>
          <w:sz w:val="28"/>
          <w:szCs w:val="28"/>
        </w:rPr>
        <w:t>СПС Чазылар Тоджинского кожууна</w:t>
      </w:r>
    </w:p>
    <w:p w14:paraId="3C814604">
      <w:pPr>
        <w:pStyle w:val="5"/>
        <w:rPr>
          <w:rFonts w:ascii="Times New Roman" w:hAnsi="Times New Roman"/>
          <w:sz w:val="28"/>
          <w:szCs w:val="28"/>
        </w:rPr>
      </w:pPr>
      <w:r>
        <w:rPr>
          <w:rFonts w:ascii="Times New Roman" w:hAnsi="Times New Roman"/>
          <w:sz w:val="28"/>
          <w:szCs w:val="28"/>
        </w:rPr>
        <w:t>Республики Тыва                                                                          Д. В. Саин-Белек</w:t>
      </w:r>
    </w:p>
    <w:p w14:paraId="179C7139"/>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CC"/>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Arial">
    <w:panose1 w:val="020B0604020202020204"/>
    <w:charset w:val="CC"/>
    <w:family w:val="swiss"/>
    <w:pitch w:val="default"/>
    <w:sig w:usb0="E0002EFF" w:usb1="C0007843" w:usb2="00000009" w:usb3="00000000" w:csb0="400001FF" w:csb1="FFFF0000"/>
  </w:font>
  <w:font w:name="F">
    <w:altName w:val="Times New Roman"/>
    <w:panose1 w:val="000000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940869"/>
    <w:rsid w:val="00047C38"/>
    <w:rsid w:val="00075870"/>
    <w:rsid w:val="00153B96"/>
    <w:rsid w:val="00192C69"/>
    <w:rsid w:val="001C7250"/>
    <w:rsid w:val="002765EE"/>
    <w:rsid w:val="002C111D"/>
    <w:rsid w:val="002D2596"/>
    <w:rsid w:val="003667F4"/>
    <w:rsid w:val="00401208"/>
    <w:rsid w:val="00406368"/>
    <w:rsid w:val="004D0D73"/>
    <w:rsid w:val="005F3B35"/>
    <w:rsid w:val="006506E9"/>
    <w:rsid w:val="00671F54"/>
    <w:rsid w:val="0071545B"/>
    <w:rsid w:val="00757D32"/>
    <w:rsid w:val="008A7B16"/>
    <w:rsid w:val="00905E9C"/>
    <w:rsid w:val="00911E64"/>
    <w:rsid w:val="00940869"/>
    <w:rsid w:val="00944E9C"/>
    <w:rsid w:val="00A57FF2"/>
    <w:rsid w:val="00A95645"/>
    <w:rsid w:val="00B82322"/>
    <w:rsid w:val="00C50CB9"/>
    <w:rsid w:val="00CF5E65"/>
    <w:rsid w:val="00D1738B"/>
    <w:rsid w:val="00E067BC"/>
    <w:rsid w:val="00E106EF"/>
    <w:rsid w:val="00E41E1E"/>
    <w:rsid w:val="00E438B8"/>
    <w:rsid w:val="00E730CE"/>
    <w:rsid w:val="00EA260B"/>
    <w:rsid w:val="31B06E0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semiHidden="0" w:name="No Spacing"/>
  </w:latentStyles>
  <w:style w:type="paragraph" w:default="1" w:styleId="1">
    <w:name w:val="Normal"/>
    <w:qFormat/>
    <w:uiPriority w:val="0"/>
    <w:pPr>
      <w:widowControl w:val="0"/>
      <w:suppressAutoHyphens/>
      <w:autoSpaceDN w:val="0"/>
      <w:spacing w:after="0" w:line="240" w:lineRule="auto"/>
      <w:textAlignment w:val="baseline"/>
    </w:pPr>
    <w:rPr>
      <w:rFonts w:ascii="Times New Roman" w:hAnsi="Times New Roman" w:eastAsia="SimSun" w:cs="Arial"/>
      <w:kern w:val="3"/>
      <w:sz w:val="24"/>
      <w:szCs w:val="24"/>
      <w:lang w:val="ru-RU" w:eastAsia="zh-CN" w:bidi="hi-IN"/>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qFormat/>
    <w:uiPriority w:val="99"/>
    <w:pPr>
      <w:widowControl/>
      <w:suppressAutoHyphens w:val="0"/>
      <w:autoSpaceDN/>
      <w:spacing w:before="100" w:beforeAutospacing="1" w:after="100" w:afterAutospacing="1"/>
      <w:textAlignment w:val="auto"/>
    </w:pPr>
    <w:rPr>
      <w:rFonts w:eastAsia="Times New Roman" w:cs="Times New Roman"/>
      <w:kern w:val="0"/>
      <w:lang w:eastAsia="ru-RU" w:bidi="ar-SA"/>
    </w:rPr>
  </w:style>
  <w:style w:type="paragraph" w:styleId="5">
    <w:name w:val="No Spacing"/>
    <w:qFormat/>
    <w:uiPriority w:val="99"/>
    <w:pPr>
      <w:spacing w:after="0" w:line="240" w:lineRule="auto"/>
    </w:pPr>
    <w:rPr>
      <w:rFonts w:ascii="Calibri" w:hAnsi="Calibri" w:eastAsia="Times New Roman" w:cs="Times New Roman"/>
      <w:sz w:val="22"/>
      <w:szCs w:val="22"/>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1841</Words>
  <Characters>10494</Characters>
  <Lines>87</Lines>
  <Paragraphs>24</Paragraphs>
  <TotalTime>109</TotalTime>
  <ScaleCrop>false</ScaleCrop>
  <LinksUpToDate>false</LinksUpToDate>
  <CharactersWithSpaces>12311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2023-12-04T06:12:00Z</dcterms:created>
  <dc:creator>Пользователь</dc:creator>
  <cp:lastModifiedBy>user</cp:lastModifiedBy>
  <cp:lastPrinted>2025-12-25T03:44:23Z</cp:lastPrinted>
  <dcterms:modified xsi:type="dcterms:W3CDTF">2025-12-25T03:49:28Z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2E42A559B7174AAE9A963C85DBB91A29_12</vt:lpwstr>
  </property>
</Properties>
</file>