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380D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«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03</w:t>
      </w:r>
      <w:r>
        <w:rPr>
          <w:rFonts w:ascii="Times New Roman" w:hAnsi="Times New Roman" w:cs="Times New Roman"/>
          <w:sz w:val="24"/>
          <w:szCs w:val="24"/>
        </w:rPr>
        <w:t>»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августа </w:t>
      </w:r>
      <w:r>
        <w:rPr>
          <w:rFonts w:ascii="Times New Roman" w:hAnsi="Times New Roman" w:cs="Times New Roman"/>
          <w:sz w:val="24"/>
          <w:szCs w:val="24"/>
        </w:rPr>
        <w:t>2026г</w:t>
      </w:r>
    </w:p>
    <w:tbl>
      <w:tblPr>
        <w:tblStyle w:val="3"/>
        <w:tblpPr w:leftFromText="180" w:rightFromText="180" w:vertAnchor="page" w:horzAnchor="page" w:tblpX="982" w:tblpY="999"/>
        <w:tblOverlap w:val="never"/>
        <w:tblW w:w="1027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45"/>
        <w:gridCol w:w="2716"/>
        <w:gridCol w:w="3914"/>
      </w:tblGrid>
      <w:tr w14:paraId="00B734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0" w:hRule="atLeast"/>
        </w:trPr>
        <w:tc>
          <w:tcPr>
            <w:tcW w:w="3645" w:type="dxa"/>
            <w:tcBorders>
              <w:bottom w:val="single" w:color="000000" w:sz="4" w:space="0"/>
            </w:tcBorders>
          </w:tcPr>
          <w:p w14:paraId="05358161">
            <w:pPr>
              <w:spacing w:after="40" w:line="260" w:lineRule="auto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ТЫВА РЕСПУБЛИКАНЫН </w:t>
            </w:r>
          </w:p>
          <w:p w14:paraId="07BEC510">
            <w:pPr>
              <w:spacing w:after="40" w:line="260" w:lineRule="auto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ТОЖУ КОЖУУННУН </w:t>
            </w:r>
          </w:p>
          <w:p w14:paraId="01A8FAB9">
            <w:pPr>
              <w:spacing w:after="40" w:line="26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ЧАЗЫЛАРЫ СУМУ</w:t>
            </w:r>
          </w:p>
          <w:p w14:paraId="72AD74F5">
            <w:pPr>
              <w:spacing w:after="40" w:line="26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ЧАГЫРГАЗЫ </w:t>
            </w:r>
          </w:p>
          <w:p w14:paraId="6473A11C">
            <w:pPr>
              <w:spacing w:after="40" w:line="260" w:lineRule="auto"/>
              <w:rPr>
                <w:rFonts w:ascii="Calibri" w:hAnsi="Calibri" w:eastAsia="Calibri" w:cs="Times New Roman"/>
                <w:b/>
              </w:rPr>
            </w:pPr>
          </w:p>
          <w:p w14:paraId="5229637A">
            <w:pPr>
              <w:spacing w:after="40" w:line="26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668550, Тожу кожуун </w:t>
            </w:r>
          </w:p>
          <w:p w14:paraId="21A7C38E">
            <w:pPr>
              <w:spacing w:after="40" w:line="260" w:lineRule="auto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Чазылары суур, </w:t>
            </w:r>
          </w:p>
          <w:p w14:paraId="37773E10">
            <w:pPr>
              <w:spacing w:after="40" w:line="260" w:lineRule="auto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Ленина кудумчузу, бажын 1, </w:t>
            </w:r>
          </w:p>
          <w:p w14:paraId="5702874F">
            <w:pPr>
              <w:spacing w:after="40" w:line="260" w:lineRule="auto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тел. 8(39450)  2-11-72</w:t>
            </w:r>
          </w:p>
          <w:p w14:paraId="2540F681">
            <w:pPr>
              <w:spacing w:after="40" w:line="260" w:lineRule="auto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mai: </w:t>
            </w:r>
            <w:r>
              <w:rPr>
                <w:rFonts w:ascii="Calibri" w:hAnsi="Calibri" w:eastAsia="Liberation Serif" w:cs="Liberation Serif"/>
                <w:sz w:val="20"/>
                <w:szCs w:val="20"/>
              </w:rPr>
              <w:t xml:space="preserve">   </w:t>
            </w:r>
            <w:r>
              <w:rPr>
                <w:rFonts w:ascii="Times New Roman" w:hAnsi="Times New Roman" w:eastAsia="Calibri" w:cs="Times New Roman"/>
                <w:lang w:val="en-US"/>
              </w:rPr>
              <w:t>spshazylarskyay</w:t>
            </w:r>
            <w:r>
              <w:rPr>
                <w:rFonts w:ascii="Times New Roman" w:hAnsi="Times New Roman" w:eastAsia="Calibri" w:cs="Times New Roman"/>
              </w:rPr>
              <w:t>@</w:t>
            </w:r>
            <w:r>
              <w:rPr>
                <w:rFonts w:ascii="Times New Roman" w:hAnsi="Times New Roman" w:eastAsia="Calibri" w:cs="Times New Roman"/>
                <w:lang w:val="en-US"/>
              </w:rPr>
              <w:t>mail</w:t>
            </w:r>
            <w:r>
              <w:rPr>
                <w:rFonts w:ascii="Times New Roman" w:hAnsi="Times New Roman" w:eastAsia="Calibri" w:cs="Times New Roman"/>
              </w:rPr>
              <w:t>.</w:t>
            </w:r>
            <w:r>
              <w:rPr>
                <w:rFonts w:ascii="Times New Roman" w:hAnsi="Times New Roman" w:eastAsia="Calibri" w:cs="Times New Roman"/>
                <w:lang w:val="en-US"/>
              </w:rPr>
              <w:t>ru</w:t>
            </w:r>
            <w:r>
              <w:rPr>
                <w:rFonts w:ascii="Calibri" w:hAnsi="Calibri" w:eastAsia="Liberation Serif" w:cs="Liberation Serif"/>
                <w:sz w:val="20"/>
                <w:szCs w:val="20"/>
              </w:rPr>
              <w:t xml:space="preserve">                      </w:t>
            </w:r>
            <w:r>
              <w:rPr>
                <w:rFonts w:ascii="Calibri" w:hAnsi="Calibri" w:eastAsia="Liberation Serif" w:cs="Liberation Serif"/>
              </w:rPr>
              <w:t xml:space="preserve">                                                    </w:t>
            </w:r>
          </w:p>
        </w:tc>
        <w:tc>
          <w:tcPr>
            <w:tcW w:w="2716" w:type="dxa"/>
            <w:tcBorders>
              <w:bottom w:val="single" w:color="000000" w:sz="4" w:space="0"/>
            </w:tcBorders>
          </w:tcPr>
          <w:p w14:paraId="620E717E">
            <w:pPr>
              <w:spacing w:after="40" w:line="260" w:lineRule="auto"/>
              <w:rPr>
                <w:rFonts w:ascii="Calibri" w:hAnsi="Calibri" w:eastAsia="Calibri" w:cs="Times New Roman"/>
              </w:rPr>
            </w:pPr>
            <w:r>
              <w:rPr>
                <w:rFonts w:ascii="Calibri" w:hAnsi="Calibri" w:eastAsia="Liberation Serif" w:cs="Liberation Serif"/>
              </w:rPr>
              <w:t xml:space="preserve">     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  <w:drawing>
                <wp:inline distT="0" distB="0" distL="114300" distR="114300">
                  <wp:extent cx="1038860" cy="1102360"/>
                  <wp:effectExtent l="0" t="0" r="8890" b="2540"/>
                  <wp:docPr id="1" name="Изображение 2" descr="Описание: https://images.vector-images.com/17/todgnsky-r-co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 2" descr="Описание: https://images.vector-images.com/17/todgnsky-r-coa.gif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8860" cy="1102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AF36D68">
            <w:pPr>
              <w:spacing w:after="40" w:line="260" w:lineRule="auto"/>
              <w:jc w:val="center"/>
              <w:rPr>
                <w:rFonts w:ascii="Calibri" w:hAnsi="Calibri" w:eastAsia="Calibri" w:cs="Times New Roman"/>
              </w:rPr>
            </w:pPr>
          </w:p>
        </w:tc>
        <w:tc>
          <w:tcPr>
            <w:tcW w:w="3914" w:type="dxa"/>
            <w:tcBorders>
              <w:bottom w:val="single" w:color="000000" w:sz="4" w:space="0"/>
            </w:tcBorders>
          </w:tcPr>
          <w:p w14:paraId="440B46B5">
            <w:pPr>
              <w:spacing w:after="40" w:line="260" w:lineRule="auto"/>
              <w:jc w:val="right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РЕСПУБЛИКА ТЫВА</w:t>
            </w:r>
          </w:p>
          <w:p w14:paraId="3B47C36C">
            <w:pPr>
              <w:spacing w:after="40" w:line="260" w:lineRule="auto"/>
              <w:jc w:val="right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АДМИНИСТРАЦИЯ</w:t>
            </w:r>
          </w:p>
          <w:p w14:paraId="4B6C4551">
            <w:pPr>
              <w:spacing w:after="40" w:line="260" w:lineRule="auto"/>
              <w:jc w:val="right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СЕЛЬСКОГО  </w:t>
            </w:r>
          </w:p>
          <w:p w14:paraId="572A1AFE">
            <w:pPr>
              <w:spacing w:after="40" w:line="260" w:lineRule="auto"/>
              <w:jc w:val="right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 ПОСЕЛЕНИЯ СУМОНА </w:t>
            </w:r>
          </w:p>
          <w:p w14:paraId="79F21018">
            <w:pPr>
              <w:spacing w:after="40" w:line="260" w:lineRule="auto"/>
              <w:jc w:val="right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ЧАЗЫЛАР</w:t>
            </w:r>
          </w:p>
          <w:p w14:paraId="72071DD2">
            <w:pPr>
              <w:spacing w:after="40" w:line="260" w:lineRule="auto"/>
              <w:jc w:val="right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ТОДЖИНСКОГО КОЖУУНА </w:t>
            </w:r>
          </w:p>
          <w:p w14:paraId="58C3F9BA">
            <w:pPr>
              <w:spacing w:after="40" w:line="260" w:lineRule="auto"/>
              <w:jc w:val="right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668550, Тоджинский кожуун,</w:t>
            </w:r>
          </w:p>
          <w:p w14:paraId="43C518DA">
            <w:pPr>
              <w:spacing w:after="40" w:line="260" w:lineRule="auto"/>
              <w:jc w:val="right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с. Чазылар, ул. Ленина, д. 1.</w:t>
            </w:r>
          </w:p>
          <w:p w14:paraId="1F3E63E9">
            <w:pPr>
              <w:spacing w:after="40" w:line="260" w:lineRule="auto"/>
              <w:jc w:val="right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тел. 8 (39450) 2-11-72.</w:t>
            </w:r>
          </w:p>
          <w:p w14:paraId="2BAFF1B3">
            <w:pPr>
              <w:spacing w:after="40" w:line="260" w:lineRule="auto"/>
              <w:jc w:val="right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mai</w:t>
            </w:r>
            <w:r>
              <w:rPr>
                <w:rFonts w:ascii="Times New Roman" w:hAnsi="Times New Roman" w:eastAsia="Calibri" w:cs="Times New Roman"/>
                <w:lang w:val="en-US"/>
              </w:rPr>
              <w:t>spshazylarskyay</w:t>
            </w:r>
            <w:r>
              <w:rPr>
                <w:rFonts w:ascii="Times New Roman" w:hAnsi="Times New Roman" w:eastAsia="Calibri" w:cs="Times New Roman"/>
              </w:rPr>
              <w:t>@</w:t>
            </w:r>
            <w:r>
              <w:rPr>
                <w:rFonts w:ascii="Times New Roman" w:hAnsi="Times New Roman" w:eastAsia="Calibri" w:cs="Times New Roman"/>
                <w:lang w:val="en-US"/>
              </w:rPr>
              <w:t>mail</w:t>
            </w:r>
            <w:r>
              <w:rPr>
                <w:rFonts w:ascii="Times New Roman" w:hAnsi="Times New Roman" w:eastAsia="Calibri" w:cs="Times New Roman"/>
              </w:rPr>
              <w:t>.</w:t>
            </w:r>
            <w:r>
              <w:rPr>
                <w:rFonts w:ascii="Times New Roman" w:hAnsi="Times New Roman" w:eastAsia="Calibri" w:cs="Times New Roman"/>
                <w:lang w:val="en-US"/>
              </w:rPr>
              <w:t>ru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:</w:t>
            </w:r>
            <w:r>
              <w:rPr>
                <w:rFonts w:ascii="Calibri" w:hAnsi="Calibri" w:eastAsia="Liberation Serif" w:cs="Liberation Serif"/>
                <w:sz w:val="20"/>
                <w:szCs w:val="20"/>
              </w:rPr>
              <w:t xml:space="preserve">                         </w:t>
            </w:r>
            <w:r>
              <w:rPr>
                <w:rFonts w:ascii="Calibri" w:hAnsi="Calibri" w:eastAsia="Liberation Serif" w:cs="Liberation Serif"/>
              </w:rPr>
              <w:t xml:space="preserve">                                                    </w:t>
            </w:r>
          </w:p>
        </w:tc>
      </w:tr>
    </w:tbl>
    <w:p w14:paraId="05749DC4">
      <w:pPr>
        <w:rPr>
          <w:rFonts w:ascii="Times New Roman" w:hAnsi="Times New Roman" w:cs="Times New Roman"/>
          <w:sz w:val="24"/>
          <w:szCs w:val="24"/>
        </w:rPr>
      </w:pPr>
    </w:p>
    <w:p w14:paraId="6E92D1F2">
      <w:pPr>
        <w:rPr>
          <w:rFonts w:ascii="Times New Roman" w:hAnsi="Times New Roman" w:cs="Times New Roman"/>
          <w:sz w:val="24"/>
          <w:szCs w:val="24"/>
        </w:rPr>
      </w:pPr>
    </w:p>
    <w:p w14:paraId="6B79DA6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A687C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3E4D92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14:paraId="000D6D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утверждении муниципальной программы</w:t>
      </w:r>
    </w:p>
    <w:p w14:paraId="1F08C1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«Профилактика терроризма и экстремизма</w:t>
      </w:r>
    </w:p>
    <w:p w14:paraId="7F61F3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территории сельского поселения</w:t>
      </w:r>
    </w:p>
    <w:p w14:paraId="4ACEBF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сумона Чазылар Тоджинского кожууна Республики Тыва» на 2026-2028года.</w:t>
      </w:r>
    </w:p>
    <w:p w14:paraId="584835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В соответствии со статьей 179 Бюджетного кодекса Российской Федерации, статьями</w:t>
      </w:r>
    </w:p>
    <w:p w14:paraId="36FA86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3-5 Федерального Закона от 25 июля 2002 года № 114-ФЗ «О противодействии</w:t>
      </w:r>
    </w:p>
    <w:p w14:paraId="5ECCB7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экстремистской деятельности», статьей 14 Федерального Закона от 6 октября 2003 года</w:t>
      </w:r>
    </w:p>
    <w:p w14:paraId="533893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131-ФЗ «Об общих принципах организации местного самоуправления в Российской</w:t>
      </w:r>
    </w:p>
    <w:p w14:paraId="7723A8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Федерации», руководствуясь Уставом сельского поселения сумона Чазылары Тоджинского кожууна Республики Тыва в целях противодействия</w:t>
      </w:r>
    </w:p>
    <w:p w14:paraId="3B6AD6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экстремизму и терроризму на территории администрация сельского поселения сумона Чазылар</w:t>
      </w:r>
    </w:p>
    <w:p w14:paraId="3B57E3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ПОСТАНОВЛЯЕТ:</w:t>
      </w:r>
    </w:p>
    <w:p w14:paraId="35F603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.Утвердить муниципальную программу «Профилактика терроризма и экстремизма</w:t>
      </w:r>
    </w:p>
    <w:p w14:paraId="041D3C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территории  сельского поселения  сумона Чазылар Тоджинского кожууна  Республики Тыва» на 2026-2028 годы согласно приложению к настоящему постановлению (далее - Программа).</w:t>
      </w:r>
    </w:p>
    <w:p w14:paraId="5BF79B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. Предусмотреть бюджетные ассигнования на реализацию программы.</w:t>
      </w:r>
    </w:p>
    <w:p w14:paraId="1CACBA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.Установить, что в ходе реализации муниципальной программы и объемы их</w:t>
      </w:r>
    </w:p>
    <w:p w14:paraId="22B8DA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финансирования подлежат корректировке с учетом возможностей средств бюджета.</w:t>
      </w:r>
    </w:p>
    <w:p w14:paraId="6116C5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.Постановление вступает в силу с момента его опубликования (обнародования) и</w:t>
      </w:r>
    </w:p>
    <w:p w14:paraId="199472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подлежит размещению на официальном сайте администрации.</w:t>
      </w:r>
    </w:p>
    <w:p w14:paraId="58CC7E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.Контроль исполнения настоящего постановления оставляю за собой.</w:t>
      </w:r>
    </w:p>
    <w:p w14:paraId="03127EEC">
      <w:pPr>
        <w:rPr>
          <w:rFonts w:ascii="Times New Roman" w:hAnsi="Times New Roman" w:cs="Times New Roman"/>
          <w:sz w:val="24"/>
          <w:szCs w:val="24"/>
        </w:rPr>
      </w:pPr>
    </w:p>
    <w:p w14:paraId="324C6B4D">
      <w:pPr>
        <w:rPr>
          <w:rFonts w:ascii="Times New Roman" w:hAnsi="Times New Roman" w:cs="Times New Roman"/>
          <w:sz w:val="24"/>
          <w:szCs w:val="24"/>
        </w:rPr>
      </w:pPr>
    </w:p>
    <w:p w14:paraId="6B9C32CD">
      <w:pPr>
        <w:rPr>
          <w:rFonts w:ascii="Times New Roman" w:hAnsi="Times New Roman" w:cs="Times New Roman"/>
          <w:sz w:val="24"/>
          <w:szCs w:val="24"/>
        </w:rPr>
      </w:pPr>
    </w:p>
    <w:p w14:paraId="0DC2B45D">
      <w:pPr>
        <w:rPr>
          <w:rFonts w:ascii="Times New Roman" w:hAnsi="Times New Roman" w:cs="Times New Roman"/>
          <w:sz w:val="24"/>
          <w:szCs w:val="24"/>
        </w:rPr>
      </w:pPr>
    </w:p>
    <w:p w14:paraId="6AA2BD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И.о.председателя</w:t>
      </w:r>
    </w:p>
    <w:p w14:paraId="1E44FE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СПС Чазылар                                                                             Д.В.Саин-Белек</w:t>
      </w:r>
    </w:p>
    <w:p w14:paraId="5F2E2584">
      <w:pPr>
        <w:rPr>
          <w:rFonts w:ascii="Times New Roman" w:hAnsi="Times New Roman" w:cs="Times New Roman"/>
          <w:sz w:val="24"/>
          <w:szCs w:val="24"/>
        </w:rPr>
      </w:pPr>
    </w:p>
    <w:p w14:paraId="0CF1D0A2">
      <w:pPr>
        <w:rPr>
          <w:rFonts w:ascii="Times New Roman" w:hAnsi="Times New Roman" w:cs="Times New Roman"/>
          <w:sz w:val="24"/>
          <w:szCs w:val="24"/>
        </w:rPr>
      </w:pPr>
    </w:p>
    <w:p w14:paraId="4A747FCB"/>
    <w:p w14:paraId="7D8E381C">
      <w:pPr>
        <w:jc w:val="right"/>
        <w:rPr>
          <w:rFonts w:ascii="Times New Roman" w:hAnsi="Times New Roman" w:cs="Times New Roman"/>
        </w:rPr>
      </w:pPr>
    </w:p>
    <w:p w14:paraId="45810774">
      <w:pPr>
        <w:jc w:val="right"/>
        <w:rPr>
          <w:rFonts w:ascii="Times New Roman" w:hAnsi="Times New Roman" w:cs="Times New Roman"/>
        </w:rPr>
      </w:pPr>
    </w:p>
    <w:p w14:paraId="22D65B68">
      <w:pPr>
        <w:jc w:val="right"/>
        <w:rPr>
          <w:rFonts w:ascii="Times New Roman" w:hAnsi="Times New Roman" w:cs="Times New Roman"/>
        </w:rPr>
      </w:pPr>
    </w:p>
    <w:p w14:paraId="7763E6EE">
      <w:pPr>
        <w:jc w:val="right"/>
        <w:rPr>
          <w:rFonts w:ascii="Times New Roman" w:hAnsi="Times New Roman" w:cs="Times New Roman"/>
        </w:rPr>
      </w:pPr>
    </w:p>
    <w:p w14:paraId="0F467A6D">
      <w:pPr>
        <w:jc w:val="right"/>
        <w:rPr>
          <w:rFonts w:ascii="Times New Roman" w:hAnsi="Times New Roman" w:cs="Times New Roman"/>
        </w:rPr>
      </w:pPr>
    </w:p>
    <w:p w14:paraId="533D896F">
      <w:pPr>
        <w:jc w:val="right"/>
        <w:rPr>
          <w:rFonts w:ascii="Times New Roman" w:hAnsi="Times New Roman" w:cs="Times New Roman"/>
        </w:rPr>
      </w:pPr>
    </w:p>
    <w:p w14:paraId="5616A421">
      <w:pPr>
        <w:jc w:val="right"/>
        <w:rPr>
          <w:rFonts w:ascii="Times New Roman" w:hAnsi="Times New Roman" w:cs="Times New Roman"/>
        </w:rPr>
      </w:pPr>
    </w:p>
    <w:p w14:paraId="3628622C">
      <w:pPr>
        <w:jc w:val="right"/>
        <w:rPr>
          <w:rFonts w:ascii="Times New Roman" w:hAnsi="Times New Roman" w:cs="Times New Roman"/>
        </w:rPr>
      </w:pPr>
    </w:p>
    <w:p w14:paraId="161B9506">
      <w:pPr>
        <w:jc w:val="right"/>
        <w:rPr>
          <w:rFonts w:ascii="Times New Roman" w:hAnsi="Times New Roman" w:cs="Times New Roman"/>
        </w:rPr>
      </w:pPr>
    </w:p>
    <w:p w14:paraId="79FA766B">
      <w:pPr>
        <w:jc w:val="right"/>
        <w:rPr>
          <w:rFonts w:ascii="Times New Roman" w:hAnsi="Times New Roman" w:cs="Times New Roman"/>
        </w:rPr>
      </w:pPr>
    </w:p>
    <w:p w14:paraId="7C5D9B59">
      <w:pPr>
        <w:jc w:val="right"/>
        <w:rPr>
          <w:rFonts w:ascii="Times New Roman" w:hAnsi="Times New Roman" w:cs="Times New Roman"/>
        </w:rPr>
      </w:pPr>
    </w:p>
    <w:p w14:paraId="0097DE20">
      <w:pPr>
        <w:jc w:val="right"/>
        <w:rPr>
          <w:rFonts w:ascii="Times New Roman" w:hAnsi="Times New Roman" w:cs="Times New Roman"/>
        </w:rPr>
      </w:pPr>
    </w:p>
    <w:p w14:paraId="28B8EF59">
      <w:pPr>
        <w:jc w:val="right"/>
        <w:rPr>
          <w:rFonts w:ascii="Times New Roman" w:hAnsi="Times New Roman" w:cs="Times New Roman"/>
        </w:rPr>
      </w:pPr>
    </w:p>
    <w:p w14:paraId="02FF6AD8">
      <w:pPr>
        <w:jc w:val="right"/>
        <w:rPr>
          <w:rFonts w:ascii="Times New Roman" w:hAnsi="Times New Roman" w:cs="Times New Roman"/>
        </w:rPr>
      </w:pPr>
    </w:p>
    <w:p w14:paraId="096CF1E6">
      <w:pPr>
        <w:jc w:val="right"/>
        <w:rPr>
          <w:rFonts w:ascii="Times New Roman" w:hAnsi="Times New Roman" w:cs="Times New Roman"/>
        </w:rPr>
      </w:pPr>
    </w:p>
    <w:p w14:paraId="5600287A">
      <w:pPr>
        <w:jc w:val="right"/>
        <w:rPr>
          <w:rFonts w:ascii="Times New Roman" w:hAnsi="Times New Roman" w:cs="Times New Roman"/>
        </w:rPr>
      </w:pPr>
    </w:p>
    <w:p w14:paraId="4D350231">
      <w:pPr>
        <w:jc w:val="right"/>
        <w:rPr>
          <w:rFonts w:ascii="Times New Roman" w:hAnsi="Times New Roman" w:cs="Times New Roman"/>
        </w:rPr>
      </w:pPr>
    </w:p>
    <w:p w14:paraId="0121B1B3">
      <w:pPr>
        <w:jc w:val="right"/>
        <w:rPr>
          <w:rFonts w:ascii="Times New Roman" w:hAnsi="Times New Roman" w:cs="Times New Roman"/>
        </w:rPr>
      </w:pPr>
    </w:p>
    <w:p w14:paraId="4727710D">
      <w:pPr>
        <w:jc w:val="right"/>
        <w:rPr>
          <w:rFonts w:ascii="Times New Roman" w:hAnsi="Times New Roman" w:cs="Times New Roman"/>
        </w:rPr>
      </w:pPr>
    </w:p>
    <w:p w14:paraId="6ECE6435">
      <w:pPr>
        <w:jc w:val="right"/>
        <w:rPr>
          <w:rFonts w:ascii="Times New Roman" w:hAnsi="Times New Roman" w:cs="Times New Roman"/>
        </w:rPr>
      </w:pPr>
    </w:p>
    <w:p w14:paraId="46389E0F">
      <w:pPr>
        <w:jc w:val="right"/>
        <w:rPr>
          <w:rFonts w:ascii="Times New Roman" w:hAnsi="Times New Roman" w:cs="Times New Roman"/>
        </w:rPr>
      </w:pPr>
    </w:p>
    <w:p w14:paraId="6ABDF885">
      <w:pPr>
        <w:jc w:val="right"/>
        <w:rPr>
          <w:rFonts w:ascii="Times New Roman" w:hAnsi="Times New Roman" w:cs="Times New Roman"/>
        </w:rPr>
      </w:pPr>
    </w:p>
    <w:p w14:paraId="3864824B">
      <w:pPr>
        <w:jc w:val="right"/>
        <w:rPr>
          <w:rFonts w:ascii="Times New Roman" w:hAnsi="Times New Roman" w:cs="Times New Roman"/>
        </w:rPr>
      </w:pPr>
    </w:p>
    <w:p w14:paraId="5A2B0018">
      <w:pPr>
        <w:jc w:val="right"/>
        <w:rPr>
          <w:rFonts w:ascii="Times New Roman" w:hAnsi="Times New Roman" w:cs="Times New Roman"/>
        </w:rPr>
      </w:pPr>
    </w:p>
    <w:p w14:paraId="27BB49C7">
      <w:pPr>
        <w:ind w:firstLine="8030" w:firstLineChars="365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Приложение1 </w:t>
      </w:r>
    </w:p>
    <w:p w14:paraId="59419794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постановлению №</w:t>
      </w:r>
      <w:r>
        <w:rPr>
          <w:rFonts w:hint="default" w:ascii="Times New Roman" w:hAnsi="Times New Roman" w:cs="Times New Roman"/>
          <w:lang w:val="ru-RU"/>
        </w:rPr>
        <w:t xml:space="preserve">7 </w:t>
      </w:r>
      <w:r>
        <w:rPr>
          <w:rFonts w:ascii="Times New Roman" w:hAnsi="Times New Roman" w:cs="Times New Roman"/>
        </w:rPr>
        <w:t>от «</w:t>
      </w:r>
      <w:r>
        <w:rPr>
          <w:rFonts w:hint="default" w:ascii="Times New Roman" w:hAnsi="Times New Roman" w:cs="Times New Roman"/>
          <w:lang w:val="ru-RU"/>
        </w:rPr>
        <w:t>03</w:t>
      </w:r>
      <w:r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  <w:lang w:val="ru-RU"/>
        </w:rPr>
        <w:t>августа</w:t>
      </w:r>
      <w:r>
        <w:rPr>
          <w:rFonts w:hint="default"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</w:rPr>
        <w:t>2026г</w:t>
      </w:r>
    </w:p>
    <w:p w14:paraId="52F06DCF">
      <w:pPr>
        <w:rPr>
          <w:rFonts w:ascii="Times New Roman" w:hAnsi="Times New Roman" w:cs="Times New Roman"/>
          <w:b/>
          <w:sz w:val="36"/>
          <w:szCs w:val="36"/>
        </w:rPr>
      </w:pPr>
    </w:p>
    <w:p w14:paraId="1EFF03C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Муниципальная программа</w:t>
      </w:r>
    </w:p>
    <w:p w14:paraId="613471E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«Профилактика терроризма и экстремизма на территории сельского поселения сумона Чазылар Тоджинского района Республики Тыва» на 2026-2028 г.</w:t>
      </w:r>
    </w:p>
    <w:p w14:paraId="419649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ПАСПОРТ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72"/>
        <w:gridCol w:w="4673"/>
      </w:tblGrid>
      <w:tr w14:paraId="6F0832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39269F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4673" w:type="dxa"/>
          </w:tcPr>
          <w:p w14:paraId="03112E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34D9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«Профилактика терроризма и экстр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емизма на территории сельского поселения сумона Чазылар Тоджинского района Республики Тыва» на 2026-2028 г.</w:t>
            </w:r>
          </w:p>
          <w:p w14:paraId="1DD11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619A2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1DE6EC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заказчик программы</w:t>
            </w:r>
          </w:p>
        </w:tc>
        <w:tc>
          <w:tcPr>
            <w:tcW w:w="4673" w:type="dxa"/>
          </w:tcPr>
          <w:p w14:paraId="560F0A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сельского поселения сумона Чазылар Тоджинского кожууна Республики Тыва</w:t>
            </w:r>
          </w:p>
        </w:tc>
      </w:tr>
      <w:tr w14:paraId="06462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572C19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Основание для принятия решения о разработке Программы</w:t>
            </w:r>
          </w:p>
        </w:tc>
        <w:tc>
          <w:tcPr>
            <w:tcW w:w="4673" w:type="dxa"/>
          </w:tcPr>
          <w:p w14:paraId="4A7401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Федеральный закон от 06.03.2006 № 35-ФЗ «О противодействии терроризму»; - Федеральный закон от 25.07.2002 № 114-ФЗ «О противодействии экстремистской деятельности»; - Федеральный закон от 06.10.2003 года № 131 -ФЗ «Об общих принципах организации местного самоуправления в Российской Федерации» - Указ Президента РФ от 15.02.2006 № 116 «О мерах по противодействию терроризму»; - Указ Президента РФ от 15.02.2006 № 1167 «О неотложных мерах по повышению эффективности борьбы с терроризмом»; </w:t>
            </w:r>
          </w:p>
        </w:tc>
      </w:tr>
      <w:tr w14:paraId="3829C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651B45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Цели и задачи программы</w:t>
            </w:r>
          </w:p>
        </w:tc>
        <w:tc>
          <w:tcPr>
            <w:tcW w:w="4673" w:type="dxa"/>
          </w:tcPr>
          <w:p w14:paraId="4076FF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Целью Программы является:</w:t>
            </w:r>
          </w:p>
          <w:p w14:paraId="3736A6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Обеспечение общественной безопасности граждан села Чазылар;</w:t>
            </w:r>
          </w:p>
          <w:p w14:paraId="5B4974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Повышение эффективности предупреждения и совершенствование мер борьбы с терроризмом и экстремизмом; </w:t>
            </w:r>
          </w:p>
          <w:p w14:paraId="006FD5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Предупреждение терроризма и экстремизма, в том числе по выявлению и последующему устранению причин и условий, способствующих совершению террористических актов; </w:t>
            </w:r>
          </w:p>
          <w:p w14:paraId="0CBB1B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Минимизация и (или) ликвидация последствий проявлений терроризма и экстремизма в границах села Чазылары;</w:t>
            </w:r>
          </w:p>
          <w:p w14:paraId="6B9D87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Воспитание культуры толерантности и межнационального согласия;</w:t>
            </w:r>
          </w:p>
          <w:p w14:paraId="2F328B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Достижение необходимого уровня правовой культуры граждан, как основы толерантного сознания и поведения;</w:t>
            </w:r>
          </w:p>
          <w:p w14:paraId="39A993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Формирование в молодежной среде мировоззрения и духовнонравственной атмосферы этнокультурного взаимоуважения, основанных на принципах уважения прав и свобод человека, стремления к межэтническому миру и согласию, готовности к диалогу; </w:t>
            </w:r>
          </w:p>
          <w:p w14:paraId="3F5A2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Общественное осуждение и пресечение на основе действующего законодательства любых проявлений дискриминации,насилия, расизма и экстремизма на национальной и конфессиональной почве.</w:t>
            </w:r>
          </w:p>
          <w:p w14:paraId="02F7FC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Разработка и реализация в учреждениях дошкольного, начального, среднего образования села Чазылары образовательных программ, направленных на формирование у подрастающего поколения позитивных установок на этническоемногообразие. </w:t>
            </w:r>
          </w:p>
        </w:tc>
      </w:tr>
      <w:tr w14:paraId="54916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2940F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исполнители</w:t>
            </w:r>
          </w:p>
        </w:tc>
        <w:tc>
          <w:tcPr>
            <w:tcW w:w="4673" w:type="dxa"/>
          </w:tcPr>
          <w:p w14:paraId="705244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 сумона Чазылар Тоджинского кожууна Республики Тыва</w:t>
            </w:r>
          </w:p>
          <w:p w14:paraId="3F7737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D09A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1F19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4D6E0C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 исполнения Программы</w:t>
            </w:r>
          </w:p>
        </w:tc>
        <w:tc>
          <w:tcPr>
            <w:tcW w:w="4673" w:type="dxa"/>
          </w:tcPr>
          <w:p w14:paraId="75745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2026-2028 год</w:t>
            </w:r>
          </w:p>
          <w:p w14:paraId="13C462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Исполнение программы проходит в один год</w:t>
            </w:r>
          </w:p>
        </w:tc>
      </w:tr>
      <w:tr w14:paraId="1EF24E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05BB63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Объемы и источники финансирования (в текущих ценах каждого года).</w:t>
            </w:r>
          </w:p>
        </w:tc>
        <w:tc>
          <w:tcPr>
            <w:tcW w:w="4673" w:type="dxa"/>
          </w:tcPr>
          <w:p w14:paraId="5D578B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средств выделяемых на реализацию мероприятий настоящей Программы ежегодно уточняется при формировании проекта бюджетана соответствующий финансовый год. Всего по Программе: 0,0 тыс. руб., из них из средств бюджета СПС Чазылар:</w:t>
            </w:r>
          </w:p>
          <w:p w14:paraId="441EE8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2026 - 0,0 тыс. руб. </w:t>
            </w:r>
          </w:p>
          <w:p w14:paraId="3267B9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2027 - 0,0 тыс. руб. </w:t>
            </w:r>
          </w:p>
          <w:p w14:paraId="2FA837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2028 - 0,0 тыс. руб. </w:t>
            </w:r>
          </w:p>
          <w:p w14:paraId="0CA4FD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ходе реализации Программы перечень программных мероприятий может корректироваться, изменяться и дополняться по решению заказчика Программы.</w:t>
            </w:r>
          </w:p>
        </w:tc>
      </w:tr>
      <w:tr w14:paraId="758DAA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2F9B95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управления и система контроля за исполнением Программы</w:t>
            </w:r>
          </w:p>
        </w:tc>
        <w:tc>
          <w:tcPr>
            <w:tcW w:w="4673" w:type="dxa"/>
          </w:tcPr>
          <w:p w14:paraId="673CB0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Программой и контроль за её реализацией осуществляется антитеррористической комиссией администрации сельского поселения сумона Чазылар</w:t>
            </w:r>
          </w:p>
        </w:tc>
      </w:tr>
      <w:tr w14:paraId="37871D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7F3A4E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Целевые индикаторы</w:t>
            </w:r>
          </w:p>
        </w:tc>
        <w:tc>
          <w:tcPr>
            <w:tcW w:w="4673" w:type="dxa"/>
          </w:tcPr>
          <w:p w14:paraId="517347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Доля мероприятий от общего количества запланированных по снижению уровня проявления терроризма, экстремизма и ксенофобии,этнической нетерпимости и формированию позитивных установок к представителям различных этнических и конфессиональных сообществ. Доля обучающихся и молодежи, участвующих в мероприятиях, направленных на развитие межэтнической интеграции, воспитание культуры мира, профилактику проявлений ксенофобии и экстремизма,от молодежи в возрасте от 14-ти до 30-ти лет. Число зарегистрированных нарушений общественного порядка экстремистского характера. </w:t>
            </w:r>
          </w:p>
        </w:tc>
      </w:tr>
      <w:tr w14:paraId="2DF8F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60CB3E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 реализации Программы и  показатели социальноэкономической эффективности</w:t>
            </w:r>
          </w:p>
        </w:tc>
        <w:tc>
          <w:tcPr>
            <w:tcW w:w="4673" w:type="dxa"/>
          </w:tcPr>
          <w:p w14:paraId="7D7237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Достижение целевых показателей по снижению уровня проявления терроризма, экстремизма и ксенофобии, этнической нетерпимости иформированию позитивных установок к представителям различных этнических и конфессиональных сообществ. Увеличение доли обучающихся и молодежи, участвующих в мероприятиях, направленных на развитие межэтнической интеграции, воспитание культуры мира, профилактику проявлений ксенофобии и /экстремизма, от молодежи в возрасте от 14-ти до 30-ти лет. Число зарегистрированных нарушений общественного порядка экстремистского характера снизить до 0.</w:t>
            </w:r>
          </w:p>
        </w:tc>
      </w:tr>
    </w:tbl>
    <w:p w14:paraId="3475983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A1B130">
      <w:pPr>
        <w:pStyle w:val="5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Характеристика проблемы и обоснование ее решения программно-целевыми методами</w:t>
      </w:r>
    </w:p>
    <w:p w14:paraId="083C0ED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Муниципальная программа «Профилактика терроризма и экстремизма на территории  сельского поселения сумона Чазылар Тоджинского кожууна Республики Тыва » на 2026-2028 (далее - программа) разработана в соответствии с Федеральным законом от 06.03.2006 №35-Ф3 «О противодействии терроризму», Федеральным законом от 25.07.2002 №114-ФЗ «О противодействии экстремистской деятельности», Указами Президента РФ от 15.02.2006 №116 «О мерах по противодействию терроризму» и от 13.09.2004 №1167 «О неотложных мерах по повышению эффективности борьбы с терроризмом» Необходимость принятия Программы вызвана: - наличием мест с массовым пребыванием людей (школа, детский сад, Дом культуры и др.), которые могут быть избраны террористами в качестве объектов проведения террористических актов. Целью муниципальной программы является: </w:t>
      </w:r>
    </w:p>
    <w:p w14:paraId="7D4E90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-не допустить совершения на территории  сельского поселения сумона Чазылар террористических акций и экстремистских проявлений: - создать сельскую систему профилактических мер антитеррористической и антиэкстремистской направленности; </w:t>
      </w:r>
    </w:p>
    <w:p w14:paraId="70E69C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укрепить техническую защищенность важных объектов и объектов с массовым пребыванием людей; повысить уровень подготовки сил, привлекаемых к нейтрализации террористических актов, и населения по действиям при угрозе их совершения. Одной из задач разработчика программы является проведение работы по борьбе с террористической угрозой и проведение мероприятий, направленных на профилактику политического, национального и религиозного экстремизма. Возможности реализации системы мер целевого противодействия терроризму и экстремизму, установление контроля над развитием криминальных процессов предлагаются в представленной программе. Программа носит межведомственный характер, поскольку проблема борьбы с терроризмом и проявлениями экстремизма (политического, национального, религиозного) затрагивает сферу деятельности многих исполнительных органов государственной власти области и органов местного самоуправления. Программа рассчитана на 3 года (2026-2028гг.) в связи с постоянными динамическими переменами в рассматриваемой сфере и необходимостью совершенствования форм и методов борьбы с терроризмом и экстремизмом. Реализация предложенных Программой мер позволит значительно расширить потенциал института профилактики терроризма в целом, повысить эффективность деятельности органов, задействованных в сфере борьбы терроризмом, привлечь дополнительные финансовые ресурсы, усовершенствовать современную упреждающую систему противодействия на территории администрации сельского поселения сумона Чазылар Тоджинского кожууна Республики Тыва.</w:t>
      </w:r>
    </w:p>
    <w:p w14:paraId="27DA421A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02A51071">
      <w:pPr>
        <w:pStyle w:val="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Цели, задачи, сроки и этапы реализации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F3066E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Программы Основной целью Программы является повышение защиты населения, объектов первоочередной антитеррористической защиты, расположенных на территории поселения от террористической угрозы. Программа предполагает решение следующих задач: проведение пропагандистской работы, направленной на вскрытие сущности и разъяснение общественной опасности терроризма, предупреждение террористической деятельности, повышение бдительности; повышение уровня межведомственного взаимодействия в профилактике терроризма; совершенствование систем технической защиты потенциально опасных объектов, мест массового пребывания людей и объектов жизнеобеспечения, находящихся в собственности или в ведении администрации Знаменского сельсовета Программа разработана на период 2026-2028 г.г., предполагающих ежегодное плановое выполнение мероприятий по профилактике терроризма и экстремизма, а также минимизации и (или) ликвидации последствий проявлений терроризма и экстремизма на территории сельского поселения сумона Чазылар Тоджинского кожууна Республики Тыва.</w:t>
      </w:r>
    </w:p>
    <w:p w14:paraId="14284FB6">
      <w:pPr>
        <w:pStyle w:val="5"/>
        <w:rPr>
          <w:rFonts w:ascii="Times New Roman" w:hAnsi="Times New Roman" w:cs="Times New Roman"/>
          <w:sz w:val="24"/>
          <w:szCs w:val="24"/>
        </w:rPr>
      </w:pPr>
    </w:p>
    <w:p w14:paraId="057E29C9">
      <w:pPr>
        <w:pStyle w:val="5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Целевые показатели достижения целей и решения задач, основные ожидаемые конечные результаты Программы.</w:t>
      </w:r>
    </w:p>
    <w:p w14:paraId="37910A2E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Целевые показатели в сфере борьбы с терроризмом и экстремизмом:</w:t>
      </w:r>
    </w:p>
    <w:p w14:paraId="5ECD6A7F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количество публикаций в средствах массовой информации по антитеррористической и антиэкстремистской проблематике;</w:t>
      </w:r>
    </w:p>
    <w:p w14:paraId="5210E82F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количество собраний граждан по предупреждению террористической деятельности и повышению бдительности;</w:t>
      </w:r>
    </w:p>
    <w:p w14:paraId="3F79D7CC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количество проведенных циклов «круглых столов», семинаров по предупреждению террористической деятельности и повышению бдительности; </w:t>
      </w:r>
    </w:p>
    <w:p w14:paraId="4EF7BAB7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количество муниципальных учреждений и объектов, ежегодно оборудованных системой видеонаблюдения. Основные ожидаемые конечные результаты Программы: - совершенствование форм и методов работы органов местного самоуправления по профилактике терроризма и экстремизма, проявлений ксенофобии, национальной и расовой нетерпимости, противодействие этнической дискриминации на территории муниципального образования; </w:t>
      </w:r>
    </w:p>
    <w:p w14:paraId="15827407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формирование нетерпимости ко всем фактам террористических и экстремистских проявлений, а также толерантного сознания, позитивных установок к представителям иных этнических и конфессиональных сообществ; </w:t>
      </w:r>
    </w:p>
    <w:p w14:paraId="7555936B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укрепление и культивирование в молодежной среде атмосферы межэтнического согласия и толерантности;</w:t>
      </w:r>
    </w:p>
    <w:p w14:paraId="24F3A01F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недопущение создания и деятельности националистических экстремистских молодежных группировок;</w:t>
      </w:r>
    </w:p>
    <w:p w14:paraId="3FDEEFF7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формирование единого информационного пространства для пропаганды на территории муниципального образования идей толерантности, гражданской солидарности, уважения к другим культурам, в том числе через муниципальные средства массовой информации.</w:t>
      </w:r>
    </w:p>
    <w:p w14:paraId="723D6448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4. Обобщенная характеристика основных мероприятий Программы.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E310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Мероприятия муниципальной целевой программы направлены на совершенствование системы противодействия терроризму и экстремизму, вовлечение гражданского общества в антитеррористический процесс. Это комплекс взаимосвязанных мер, направленных на достижение общей цели и решение наиболее важных текущих и перспективных задач, обеспечивающих соблюдение и надлежащий уровень защиты прав и основных свобод граждан. Муниципальная целевая программа предусматривает осуществление мероприятий по следующим направлениям: </w:t>
      </w:r>
    </w:p>
    <w:p w14:paraId="22A110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-совершенствование нормативно-правовых основ профилактики экстремизма и терроризма; - предупреждение (профилактика) терроризма и экстремизма;</w:t>
      </w:r>
    </w:p>
    <w:p w14:paraId="5E4EEA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-создание системы противодействия идеологии терроризма и экстремизма.</w:t>
      </w:r>
    </w:p>
    <w:p w14:paraId="66B3F3C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 Прогноз сводных целевых показателей в рамках реализации Программы.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9"/>
        <w:gridCol w:w="1866"/>
        <w:gridCol w:w="1862"/>
        <w:gridCol w:w="1862"/>
        <w:gridCol w:w="1862"/>
      </w:tblGrid>
      <w:tr w14:paraId="7AF03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9" w:type="dxa"/>
          </w:tcPr>
          <w:p w14:paraId="7A5290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Показатель (индикатор) (наименование)</w:t>
            </w:r>
          </w:p>
        </w:tc>
        <w:tc>
          <w:tcPr>
            <w:tcW w:w="1869" w:type="dxa"/>
          </w:tcPr>
          <w:p w14:paraId="057E8A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Ед.измерения</w:t>
            </w:r>
          </w:p>
        </w:tc>
        <w:tc>
          <w:tcPr>
            <w:tcW w:w="1869" w:type="dxa"/>
          </w:tcPr>
          <w:p w14:paraId="7B3885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869" w:type="dxa"/>
          </w:tcPr>
          <w:p w14:paraId="7C89C3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1869" w:type="dxa"/>
          </w:tcPr>
          <w:p w14:paraId="53B6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</w:tr>
      <w:tr w14:paraId="7A908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9" w:type="dxa"/>
          </w:tcPr>
          <w:p w14:paraId="4A7A77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количество публикаций в средствах массовой информации по антитеррористической и антиэкстремистской проблематике</w:t>
            </w:r>
          </w:p>
        </w:tc>
        <w:tc>
          <w:tcPr>
            <w:tcW w:w="1869" w:type="dxa"/>
          </w:tcPr>
          <w:p w14:paraId="60D242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  <w:p w14:paraId="35D9D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публикаций</w:t>
            </w:r>
          </w:p>
        </w:tc>
        <w:tc>
          <w:tcPr>
            <w:tcW w:w="1869" w:type="dxa"/>
          </w:tcPr>
          <w:p w14:paraId="7EF096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69" w:type="dxa"/>
          </w:tcPr>
          <w:p w14:paraId="0E5085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69" w:type="dxa"/>
          </w:tcPr>
          <w:p w14:paraId="312A0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14:paraId="0B2E75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9" w:type="dxa"/>
          </w:tcPr>
          <w:p w14:paraId="32E408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количество собраний граждан по предупреждению террористической деятельности и повышению бдительности</w:t>
            </w:r>
          </w:p>
        </w:tc>
        <w:tc>
          <w:tcPr>
            <w:tcW w:w="1869" w:type="dxa"/>
          </w:tcPr>
          <w:p w14:paraId="7C300D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869" w:type="dxa"/>
          </w:tcPr>
          <w:p w14:paraId="7F35D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69" w:type="dxa"/>
          </w:tcPr>
          <w:p w14:paraId="2D5EBA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69" w:type="dxa"/>
          </w:tcPr>
          <w:p w14:paraId="719B8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14:paraId="070F1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9" w:type="dxa"/>
          </w:tcPr>
          <w:p w14:paraId="0FA1B7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количество проведенных циклов «круглых столов», семинаров по предупреждению террористической деятельности и повышению бдительности</w:t>
            </w:r>
          </w:p>
        </w:tc>
        <w:tc>
          <w:tcPr>
            <w:tcW w:w="1869" w:type="dxa"/>
          </w:tcPr>
          <w:p w14:paraId="711BD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869" w:type="dxa"/>
          </w:tcPr>
          <w:p w14:paraId="19057E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9" w:type="dxa"/>
          </w:tcPr>
          <w:p w14:paraId="6B9A1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9" w:type="dxa"/>
          </w:tcPr>
          <w:p w14:paraId="023A42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14:paraId="2CEC9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9" w:type="dxa"/>
          </w:tcPr>
          <w:p w14:paraId="66A30C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количество муниципальных учреждений и объектов, ежегодно оборудованных системой видеонаблюдения.</w:t>
            </w:r>
          </w:p>
        </w:tc>
        <w:tc>
          <w:tcPr>
            <w:tcW w:w="1869" w:type="dxa"/>
          </w:tcPr>
          <w:p w14:paraId="7C971A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869" w:type="dxa"/>
          </w:tcPr>
          <w:p w14:paraId="745AD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69" w:type="dxa"/>
          </w:tcPr>
          <w:p w14:paraId="14FA4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69" w:type="dxa"/>
          </w:tcPr>
          <w:p w14:paraId="5B4598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6565C2C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31F496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6. Обоснование объема финансовых ресурсов, необходимых для реализации Программы. </w:t>
      </w:r>
    </w:p>
    <w:p w14:paraId="4CB939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Финансирование настоящей Программы производится за счет местного бюджета. Перечень мероприятий и потребность в финансировании муниципальной программы "По профилактике терроризма и экстремизма на территории  сельского поселения сумона Чазылар Тоджинского кожууна Республики Тыва» на 2026-2028 годы" в приложении к постановлению. Объемы расходов на выполнение мероприятий Программы и мероприятия корректируются по мере необходимости.</w:t>
      </w:r>
    </w:p>
    <w:p w14:paraId="76DC83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7. Механизм реализации программы.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A376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Распорядителем бюджетных средств является администрация сельского поселения. Приобретение материальных средств осуществляется на основании Федерального закона от 05.04.2013 года № 44-ФЗ «О контрактной системе в сфере закупок товаров, работ, услуг для обеспечения государственных и муниципальных нужд». Администрация сельского поселения сумона Чазылар Тоджинского кожууна Республики Тыва  разрабатывает основные мероприятия по реализации Программы с указанием исполнителей и сроков проведения. Общий контроль за выполнением Программы осуществляет глава поселения, антитеррористическая комиссия администрации сельского поселения сумона Чазылар Тоджинского кожууна Республики Тыва   , которые уточняют показатели по программным мероприятиям, механизм реализации Программы и состав исполнителей. Организация работ по контролю за выполнением Программы возлагается на председателя антитеррористической комиссии. При отсутствии финансирования мероприятий Программы заказчик и исполнители вносят предложения об изменении сроков их реализации либо снятии их с контроля. Ход и результаты выполнения мероприятий Программы могут быть освещены на сайте администрации сельского поселения сумона Чазылар Тоджинского кожууна Республики Тыва.</w:t>
      </w:r>
    </w:p>
    <w:p w14:paraId="616C67E9">
      <w:pPr>
        <w:rPr>
          <w:rFonts w:ascii="Times New Roman" w:hAnsi="Times New Roman" w:cs="Times New Roman"/>
          <w:sz w:val="24"/>
          <w:szCs w:val="24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AFF" w:usb1="C000247B" w:usb2="00000009" w:usb3="00000000" w:csb0="200001FF" w:csb1="00000000"/>
  </w:font>
  <w:font w:name="Liberation Serif">
    <w:altName w:val="Times New Roman"/>
    <w:panose1 w:val="00000000000000000000"/>
    <w:charset w:val="01"/>
    <w:family w:val="roman"/>
    <w:pitch w:val="default"/>
    <w:sig w:usb0="00000000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6CC77AA"/>
    <w:multiLevelType w:val="multilevel"/>
    <w:tmpl w:val="66CC77AA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C7D"/>
    <w:rsid w:val="00046489"/>
    <w:rsid w:val="00297DEE"/>
    <w:rsid w:val="004E0480"/>
    <w:rsid w:val="00905C7D"/>
    <w:rsid w:val="00C65952"/>
    <w:rsid w:val="00CA2189"/>
    <w:rsid w:val="00DC05A0"/>
    <w:rsid w:val="00DC5245"/>
    <w:rsid w:val="00E2565E"/>
    <w:rsid w:val="00EA0EBB"/>
    <w:rsid w:val="00FC0A20"/>
    <w:rsid w:val="00FD58FA"/>
    <w:rsid w:val="128E1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1707</Words>
  <Characters>13159</Characters>
  <Lines>108</Lines>
  <Paragraphs>30</Paragraphs>
  <TotalTime>86</TotalTime>
  <ScaleCrop>false</ScaleCrop>
  <LinksUpToDate>false</LinksUpToDate>
  <CharactersWithSpaces>15131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2026-06-10T02:27:00Z</dcterms:created>
  <dc:creator>Пользователь</dc:creator>
  <cp:lastModifiedBy>WPS_1781595445</cp:lastModifiedBy>
  <dcterms:modified xsi:type="dcterms:W3CDTF">2026-08-25T04:37:54Z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eyJoZGlkIjoiZGY2ZDFjNzE0NWIzMzEwMDEzNDM1YTBjNGQyYzNiNzQiLCJ1c2VySWQiOiI4MjQ2MzYyNjY2MTEifQ==</vt:lpwstr>
  </property>
  <property fmtid="{D5CDD505-2E9C-101B-9397-08002B2CF9AE}" pid="3" name="KSOProductBuildVer">
    <vt:lpwstr>1049-12.1.0.28032</vt:lpwstr>
  </property>
  <property fmtid="{D5CDD505-2E9C-101B-9397-08002B2CF9AE}" pid="4" name="ICV">
    <vt:lpwstr>D400D892F72749E39EFF70307250A8EF_12</vt:lpwstr>
  </property>
</Properties>
</file>